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A5044" w14:textId="77777777" w:rsidR="002D2E66" w:rsidRDefault="002D2E66" w:rsidP="00641415">
      <w:pPr>
        <w:pStyle w:val="Nagwek1"/>
        <w:spacing w:line="360" w:lineRule="auto"/>
      </w:pPr>
      <w:bookmarkStart w:id="0" w:name="_Toc433875239"/>
      <w:bookmarkStart w:id="1" w:name="_Toc441241805"/>
      <w:r>
        <w:rPr>
          <w:noProof/>
          <w:lang w:eastAsia="pl-PL"/>
        </w:rPr>
        <w:drawing>
          <wp:inline distT="0" distB="0" distL="0" distR="0" wp14:anchorId="2ECC488D" wp14:editId="6E08224F">
            <wp:extent cx="5760720" cy="550545"/>
            <wp:effectExtent l="0" t="0" r="0" b="1905"/>
            <wp:docPr id="37" name="Obraz 37" descr="RPO+FLAGA RP+MAZOWSZE+EF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 37" descr="RPO+FLAGA RP+MAZOWSZE+EFS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1E70" w14:textId="77777777" w:rsidR="00B80ACC" w:rsidRPr="005D5600" w:rsidRDefault="00B80ACC" w:rsidP="00BB4608">
      <w:pPr>
        <w:pStyle w:val="Nagwek1"/>
        <w:spacing w:line="259" w:lineRule="auto"/>
      </w:pPr>
      <w:r w:rsidRPr="005D5600">
        <w:t>Załącznik 5 - Zrównoważona intermodalna mobilność miejska (PI 4e)</w:t>
      </w:r>
      <w:bookmarkEnd w:id="0"/>
      <w:bookmarkEnd w:id="1"/>
    </w:p>
    <w:p w14:paraId="448A9171" w14:textId="77777777" w:rsidR="006E03F5" w:rsidRPr="005D5600" w:rsidRDefault="006E03F5" w:rsidP="00BB4608">
      <w:pPr>
        <w:pStyle w:val="Nagwek2"/>
        <w:spacing w:line="259" w:lineRule="auto"/>
        <w:rPr>
          <w:b w:val="0"/>
        </w:rPr>
      </w:pPr>
      <w:r w:rsidRPr="005D5600">
        <w:t>Wprowadzenie</w:t>
      </w:r>
    </w:p>
    <w:p w14:paraId="12FA8554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 xml:space="preserve">Niniejszy dokument jest zestawem ujednoliconych zasad, którymi należy się kierować się </w:t>
      </w:r>
      <w:r w:rsidR="005D5600">
        <w:rPr>
          <w:rFonts w:ascii="Arial" w:hAnsi="Arial" w:cs="Arial"/>
        </w:rPr>
        <w:br/>
      </w:r>
      <w:r w:rsidRPr="005D5600">
        <w:rPr>
          <w:rFonts w:ascii="Arial" w:hAnsi="Arial" w:cs="Arial"/>
        </w:rPr>
        <w:t>w procesie ustalania celów i zakresu/elementów projektów wchodzących w zakres priorytetu inwestycyjnego dotyczącego “zrównoważonej mobilności miejskiej” w ramach Regionalnego Programu Operacyjnego Województwa Mazowieckiego na lata 2014-2020.</w:t>
      </w:r>
    </w:p>
    <w:p w14:paraId="2FD9A2DC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 xml:space="preserve">Dokument wyznacza warunki, na jakich elementy drogowe będące częścią kompleksowych projektów mogą być uznane za infrastrukturę transportu publicznego w ramach PI 4e, </w:t>
      </w:r>
      <w:r w:rsidR="00BE0CD7">
        <w:rPr>
          <w:rFonts w:ascii="Arial" w:hAnsi="Arial" w:cs="Arial"/>
        </w:rPr>
        <w:br/>
      </w:r>
      <w:r w:rsidRPr="005D5600">
        <w:rPr>
          <w:rFonts w:ascii="Arial" w:hAnsi="Arial" w:cs="Arial"/>
        </w:rPr>
        <w:t xml:space="preserve">a przez to nie wchodzić do limitu  mniejszości wydatków. Dokument wskazuje również </w:t>
      </w:r>
      <w:r w:rsidR="00BE0CD7">
        <w:rPr>
          <w:rFonts w:ascii="Arial" w:hAnsi="Arial" w:cs="Arial"/>
        </w:rPr>
        <w:br/>
      </w:r>
      <w:r w:rsidRPr="005D5600">
        <w:rPr>
          <w:rFonts w:ascii="Arial" w:hAnsi="Arial" w:cs="Arial"/>
        </w:rPr>
        <w:t>te elementy projektów, które należy zaliczyć do w</w:t>
      </w:r>
      <w:r w:rsidR="009C429E" w:rsidRPr="005D5600">
        <w:rPr>
          <w:rFonts w:ascii="Arial" w:hAnsi="Arial" w:cs="Arial"/>
        </w:rPr>
        <w:t xml:space="preserve">yżej </w:t>
      </w:r>
      <w:r w:rsidRPr="005D5600">
        <w:rPr>
          <w:rFonts w:ascii="Arial" w:hAnsi="Arial" w:cs="Arial"/>
        </w:rPr>
        <w:t>w</w:t>
      </w:r>
      <w:r w:rsidR="009C429E" w:rsidRPr="005D5600">
        <w:rPr>
          <w:rFonts w:ascii="Arial" w:hAnsi="Arial" w:cs="Arial"/>
        </w:rPr>
        <w:t>ymienionego</w:t>
      </w:r>
      <w:r w:rsidRPr="005D5600">
        <w:rPr>
          <w:rFonts w:ascii="Arial" w:hAnsi="Arial" w:cs="Arial"/>
        </w:rPr>
        <w:t xml:space="preserve">. limitu. </w:t>
      </w:r>
    </w:p>
    <w:p w14:paraId="4B49A65E" w14:textId="77777777" w:rsidR="006E03F5" w:rsidRPr="005D5600" w:rsidRDefault="006E03F5" w:rsidP="00BB4608">
      <w:pPr>
        <w:pStyle w:val="Nagwek2"/>
        <w:spacing w:line="259" w:lineRule="auto"/>
        <w:rPr>
          <w:b w:val="0"/>
        </w:rPr>
      </w:pPr>
      <w:r w:rsidRPr="005D5600">
        <w:t>Cele planowanych projektów</w:t>
      </w:r>
    </w:p>
    <w:p w14:paraId="638032D2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Nadrzędnym celem projektów zawsze będzie poprawa poziomu i jakości życia społeczności lokalnych oraz ograniczenie zanieczyszczenia powietrza w miastach, poprzez przyspieszony rozwój czystych, bezpiecznych, spójnych, funkcjonalnych i efektywnych form transport</w:t>
      </w:r>
      <w:r w:rsidR="00E25085">
        <w:rPr>
          <w:rFonts w:ascii="Arial" w:hAnsi="Arial" w:cs="Arial"/>
        </w:rPr>
        <w:t>u</w:t>
      </w:r>
      <w:r w:rsidRPr="005D5600">
        <w:rPr>
          <w:rFonts w:ascii="Arial" w:hAnsi="Arial" w:cs="Arial"/>
        </w:rPr>
        <w:t xml:space="preserve"> publicznego </w:t>
      </w:r>
      <w:r w:rsidR="009C429E" w:rsidRPr="005D5600">
        <w:rPr>
          <w:rFonts w:ascii="Arial" w:hAnsi="Arial" w:cs="Arial"/>
        </w:rPr>
        <w:t xml:space="preserve">i </w:t>
      </w:r>
      <w:r w:rsidRPr="005D5600">
        <w:rPr>
          <w:rFonts w:ascii="Arial" w:hAnsi="Arial" w:cs="Arial"/>
        </w:rPr>
        <w:t xml:space="preserve">niezmotoryzowanego transportu indywidualnego. Wszystkie projekty związane z mobilnością miejską muszą uwzględnić szersze podejście i wpisać się w kwestie niskoemisyjności zidentyfikowane we właściwych dokumentach strategicznych, przede wszystkim w planach gospodarki niskoemisyjnej czy w innych strategiach. Modernizacja </w:t>
      </w:r>
      <w:r w:rsidR="005D5600">
        <w:rPr>
          <w:rFonts w:ascii="Arial" w:hAnsi="Arial" w:cs="Arial"/>
        </w:rPr>
        <w:br/>
      </w:r>
      <w:r w:rsidRPr="005D5600">
        <w:rPr>
          <w:rFonts w:ascii="Arial" w:hAnsi="Arial" w:cs="Arial"/>
        </w:rPr>
        <w:t>czy rozbudowa systemu transportu publicznego nie jest celem samym w sobie, ale musi być widziana w kontekście zmian w mobilności miejskiej, w celu ograniczenia emisji związanych z transportem, w tym CO</w:t>
      </w:r>
      <w:r w:rsidRPr="005D5600">
        <w:rPr>
          <w:rFonts w:ascii="Arial" w:hAnsi="Arial" w:cs="Arial"/>
          <w:vertAlign w:val="subscript"/>
        </w:rPr>
        <w:t>2</w:t>
      </w:r>
      <w:r w:rsidRPr="005D5600">
        <w:rPr>
          <w:rFonts w:ascii="Arial" w:hAnsi="Arial" w:cs="Arial"/>
        </w:rPr>
        <w:t xml:space="preserve">, łagodzenia negatywnego oddziaływania na środowisko </w:t>
      </w:r>
      <w:r w:rsidR="005D5600">
        <w:rPr>
          <w:rFonts w:ascii="Arial" w:hAnsi="Arial" w:cs="Arial"/>
        </w:rPr>
        <w:br/>
      </w:r>
      <w:r w:rsidRPr="005D5600">
        <w:rPr>
          <w:rFonts w:ascii="Arial" w:hAnsi="Arial" w:cs="Arial"/>
        </w:rPr>
        <w:t>i mieszkańców miast oraz zwiększenia efektywności energetycznej systemu transportowego, jako całości.</w:t>
      </w:r>
    </w:p>
    <w:p w14:paraId="482A97DA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Dlatego też projekty finansowane w ramach PI 4e związane z transportem miejskim powinny spełniać następujące przesłanki:</w:t>
      </w:r>
    </w:p>
    <w:p w14:paraId="25105FD0" w14:textId="77777777" w:rsidR="006E03F5" w:rsidRPr="005D5600" w:rsidRDefault="006E03F5" w:rsidP="00BB4608">
      <w:pPr>
        <w:numPr>
          <w:ilvl w:val="0"/>
          <w:numId w:val="2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kryterium celowościowe 1: szersze wykorzystanie bardziej efektywnego transportu publicznego oraz niezmotoryzowanego indywidualnego,</w:t>
      </w:r>
    </w:p>
    <w:p w14:paraId="00386B55" w14:textId="77777777" w:rsidR="006E03F5" w:rsidRPr="005D5600" w:rsidRDefault="006E03F5" w:rsidP="00BB4608">
      <w:pPr>
        <w:numPr>
          <w:ilvl w:val="0"/>
          <w:numId w:val="2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kryterium celowościowe 2: zmniejszenie wykorzystania samochodów osobowych,</w:t>
      </w:r>
    </w:p>
    <w:p w14:paraId="0F7A5B46" w14:textId="77777777" w:rsidR="006E03F5" w:rsidRPr="005D5600" w:rsidRDefault="006E03F5" w:rsidP="00BB4608">
      <w:pPr>
        <w:numPr>
          <w:ilvl w:val="0"/>
          <w:numId w:val="2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kryterium celowościowe 3: lepsza integracja gałęzi transportu,</w:t>
      </w:r>
    </w:p>
    <w:p w14:paraId="640C332B" w14:textId="77777777" w:rsidR="006E03F5" w:rsidRPr="005D5600" w:rsidRDefault="006E03F5" w:rsidP="00BB4608">
      <w:pPr>
        <w:numPr>
          <w:ilvl w:val="0"/>
          <w:numId w:val="2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kryterium celowościowe 4: niższa emisja zanieczyszczeń powietrza, hałasu oraz niższe zatłoczenie,</w:t>
      </w:r>
    </w:p>
    <w:p w14:paraId="4313DD4E" w14:textId="77777777" w:rsidR="006E03F5" w:rsidRPr="005D5600" w:rsidRDefault="006E03F5" w:rsidP="00BB4608">
      <w:pPr>
        <w:numPr>
          <w:ilvl w:val="0"/>
          <w:numId w:val="2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kryterium celowościowe 5: poprawa bezpieczeństwa ruchu drogowego.</w:t>
      </w:r>
    </w:p>
    <w:p w14:paraId="6C1DDFD6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W efekcie, podejmowane działania muszą być zintegrowane i kompleksowe.</w:t>
      </w:r>
    </w:p>
    <w:p w14:paraId="5121012A" w14:textId="77777777" w:rsidR="006E03F5" w:rsidRPr="005D5600" w:rsidRDefault="006E03F5" w:rsidP="00BB4608">
      <w:pPr>
        <w:pStyle w:val="Nagwek2"/>
        <w:spacing w:line="259" w:lineRule="auto"/>
        <w:rPr>
          <w:b w:val="0"/>
        </w:rPr>
      </w:pPr>
      <w:r w:rsidRPr="005D5600">
        <w:lastRenderedPageBreak/>
        <w:t>Warunki bezw</w:t>
      </w:r>
      <w:r w:rsidR="00722281" w:rsidRPr="005D5600">
        <w:t>z</w:t>
      </w:r>
      <w:r w:rsidRPr="005D5600">
        <w:t>ględnie obowiązujące</w:t>
      </w:r>
    </w:p>
    <w:p w14:paraId="7A367BCD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Kwalifikowane w ramach PI 4e powinny być projekty kompleksowe związane z transportem miejskim, które:</w:t>
      </w:r>
    </w:p>
    <w:p w14:paraId="1738559F" w14:textId="77777777" w:rsidR="006E03F5" w:rsidRPr="005D5600" w:rsidRDefault="006E03F5" w:rsidP="00BB4608">
      <w:pPr>
        <w:numPr>
          <w:ilvl w:val="0"/>
          <w:numId w:val="3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 xml:space="preserve">realizują rozwój transportu publicznego w sposób kompleksowy, obejmując zestaw właściwych elementów: tabor, infrastrukturę, Inteligentne Systemy Transportowe, o ile jest to uzasadnione, w jednym lub w kilku projektach. W żadnym przypadku elementy drogowe, o których mowa w </w:t>
      </w:r>
      <w:r w:rsidRPr="00560949">
        <w:rPr>
          <w:rFonts w:ascii="Arial" w:hAnsi="Arial" w:cs="Arial"/>
        </w:rPr>
        <w:t>pkt 4c)</w:t>
      </w:r>
      <w:r w:rsidRPr="005D5600">
        <w:rPr>
          <w:rFonts w:ascii="Arial" w:hAnsi="Arial" w:cs="Arial"/>
        </w:rPr>
        <w:t xml:space="preserve"> poniżej, nie mogą stanowić samodzielnego projektu – muszą być częścią kompleksowego projektu, bezpośrednio związanego z</w:t>
      </w:r>
      <w:r w:rsidR="00BB4608">
        <w:rPr>
          <w:rFonts w:ascii="Arial" w:hAnsi="Arial" w:cs="Arial"/>
        </w:rPr>
        <w:t> </w:t>
      </w:r>
      <w:r w:rsidRPr="005D5600">
        <w:rPr>
          <w:rFonts w:ascii="Arial" w:hAnsi="Arial" w:cs="Arial"/>
        </w:rPr>
        <w:t>transportem publicznym.</w:t>
      </w:r>
    </w:p>
    <w:p w14:paraId="673968D6" w14:textId="77777777" w:rsidR="006E03F5" w:rsidRPr="005D5600" w:rsidRDefault="006E03F5" w:rsidP="00BB4608">
      <w:pPr>
        <w:numPr>
          <w:ilvl w:val="0"/>
          <w:numId w:val="3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spełniają wszystkie wyżej określone kryteria celowościowe, od 1 do 5, a zwłaszcza czynią transport publiczny bardziej atrakcyjnym a jednocześnie transport indywidualny zmotoryzowany - mniej atrakcyjnym dla użytkowników, przez nadanie transportowi publicznemu priorytetu w ruchu na głównych miejskich trasach i  skrzyżowaniach.</w:t>
      </w:r>
    </w:p>
    <w:p w14:paraId="2077BCCD" w14:textId="77777777" w:rsidR="006E03F5" w:rsidRPr="005D5600" w:rsidRDefault="006E03F5" w:rsidP="00BB4608">
      <w:pPr>
        <w:pStyle w:val="Nagwek2"/>
        <w:spacing w:line="259" w:lineRule="auto"/>
        <w:rPr>
          <w:b w:val="0"/>
        </w:rPr>
      </w:pPr>
      <w:r w:rsidRPr="005D5600">
        <w:t>Przykłady projektów dotyczących infrastruktury transportu publicznego w ramach PI 4e</w:t>
      </w:r>
    </w:p>
    <w:p w14:paraId="2C92BCE5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Zintegrowane i kompleksowe projekty w ramach PI 4e mogą zawierać następujące elementy:</w:t>
      </w:r>
    </w:p>
    <w:p w14:paraId="14656E6B" w14:textId="77777777" w:rsidR="006E03F5" w:rsidRPr="005D5600" w:rsidRDefault="006E03F5" w:rsidP="00BB4608">
      <w:pPr>
        <w:numPr>
          <w:ilvl w:val="0"/>
          <w:numId w:val="5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tabor niskoemisyjny – typ taboru powinien wynikać z wielokryterialnej analizy przechodzenia na czystszy tabor, liczba pojazdów powinna wynikać z analizy zrównoważonej mobilności miejskiej (wchodzącej w skład Strategii ZIT, PGN lub równoważnego dokumentu);</w:t>
      </w:r>
    </w:p>
    <w:p w14:paraId="1249AE74" w14:textId="77777777" w:rsidR="006E03F5" w:rsidRPr="005D5600" w:rsidRDefault="006E03F5" w:rsidP="00BB4608">
      <w:pPr>
        <w:numPr>
          <w:ilvl w:val="0"/>
          <w:numId w:val="5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Inteligentne Systemy Transportowe – powinny zapewniać lepszą dostępność transportu publicznego w zakresie planowania podróży, informacji zarządzania ruchem, zarządzania popytem, zintegrowanego biletu, zintegrowanych systemów bazodanowych, itp.,</w:t>
      </w:r>
    </w:p>
    <w:p w14:paraId="2FB658BB" w14:textId="77777777" w:rsidR="006E03F5" w:rsidRPr="005D5600" w:rsidRDefault="006E03F5" w:rsidP="00BB4608">
      <w:pPr>
        <w:numPr>
          <w:ilvl w:val="0"/>
          <w:numId w:val="5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 xml:space="preserve">infrastruktura nie-drogowego transportu publicznego (Parkingi ,,Parkuj i Jedź) lub infrastruktura niezmotoryzowanego transportu indywidualnego, w tym elementy drogowe niezbędne do poprawy funkcjonowania tego transportu, w tym łańcuchy </w:t>
      </w:r>
      <w:proofErr w:type="spellStart"/>
      <w:r w:rsidRPr="005D5600">
        <w:rPr>
          <w:rFonts w:ascii="Arial" w:hAnsi="Arial" w:cs="Arial"/>
        </w:rPr>
        <w:t>EkoMobilności</w:t>
      </w:r>
      <w:proofErr w:type="spellEnd"/>
      <w:r w:rsidRPr="005D5600">
        <w:rPr>
          <w:rFonts w:ascii="Arial" w:hAnsi="Arial" w:cs="Arial"/>
        </w:rPr>
        <w:t xml:space="preserve"> - bezpieczne ciągi ruchu pieszego lub rowerowego służące poprawie dostępności transportu publicznego;</w:t>
      </w:r>
    </w:p>
    <w:p w14:paraId="0176C771" w14:textId="77777777" w:rsidR="006E03F5" w:rsidRPr="005D5600" w:rsidRDefault="006E03F5" w:rsidP="00BB4608">
      <w:pPr>
        <w:numPr>
          <w:ilvl w:val="0"/>
          <w:numId w:val="5"/>
        </w:numPr>
        <w:spacing w:before="80" w:after="80" w:line="259" w:lineRule="auto"/>
        <w:ind w:left="567" w:hanging="567"/>
        <w:rPr>
          <w:rFonts w:ascii="Arial" w:hAnsi="Arial" w:cs="Arial"/>
        </w:rPr>
      </w:pPr>
      <w:r w:rsidRPr="005D5600">
        <w:rPr>
          <w:rFonts w:ascii="Arial" w:hAnsi="Arial" w:cs="Arial"/>
        </w:rPr>
        <w:t>infrastruktura drogowego transportu publicznego (autobus, Parkingi ,,Parkuj i Jedź):</w:t>
      </w:r>
    </w:p>
    <w:p w14:paraId="44CDF4CB" w14:textId="77777777" w:rsidR="006E03F5" w:rsidRPr="005D5600" w:rsidRDefault="006E03F5" w:rsidP="00BB4608">
      <w:pPr>
        <w:numPr>
          <w:ilvl w:val="1"/>
          <w:numId w:val="6"/>
        </w:numPr>
        <w:spacing w:before="80" w:after="80" w:line="259" w:lineRule="auto"/>
        <w:ind w:left="993" w:hanging="426"/>
        <w:rPr>
          <w:rFonts w:ascii="Arial" w:hAnsi="Arial" w:cs="Arial"/>
        </w:rPr>
      </w:pPr>
      <w:r w:rsidRPr="005D5600">
        <w:rPr>
          <w:rFonts w:ascii="Arial" w:hAnsi="Arial" w:cs="Arial"/>
          <w:b/>
        </w:rPr>
        <w:t>elementy drogowe przeznaczone wyłącznie dla transportu publicznego lub nadające priorytet transportowi publicznemu</w:t>
      </w:r>
      <w:r w:rsidRPr="005D5600">
        <w:rPr>
          <w:rFonts w:ascii="Arial" w:hAnsi="Arial" w:cs="Arial"/>
        </w:rPr>
        <w:t>, np.: buspasy, obiekty przeznaczone dla transportu autobusowego (tunele, wiadukty), (wydatki poza limitem mniejszości),</w:t>
      </w:r>
    </w:p>
    <w:p w14:paraId="2C34F92C" w14:textId="77777777" w:rsidR="006E03F5" w:rsidRPr="005D5600" w:rsidRDefault="006E03F5" w:rsidP="00BB4608">
      <w:pPr>
        <w:numPr>
          <w:ilvl w:val="1"/>
          <w:numId w:val="6"/>
        </w:numPr>
        <w:spacing w:before="80" w:after="80" w:line="259" w:lineRule="auto"/>
        <w:ind w:left="993" w:hanging="426"/>
        <w:rPr>
          <w:rFonts w:ascii="Arial" w:hAnsi="Arial" w:cs="Arial"/>
        </w:rPr>
      </w:pPr>
      <w:r w:rsidRPr="005D5600">
        <w:rPr>
          <w:rFonts w:ascii="Arial" w:hAnsi="Arial" w:cs="Arial"/>
        </w:rPr>
        <w:t>przebudowa skrzyżowań w celu ułatwienia i/lub nadania priorytetu transportowi publicznemu w ruchu, np.: pasy skrętu dla autobusów, śluzy na skrzyżowaniach, itp., (wydatki poza limitem mniejszości),</w:t>
      </w:r>
    </w:p>
    <w:p w14:paraId="0747E1BB" w14:textId="77777777" w:rsidR="006E03F5" w:rsidRPr="005D5600" w:rsidRDefault="006E03F5" w:rsidP="00BB4608">
      <w:pPr>
        <w:numPr>
          <w:ilvl w:val="1"/>
          <w:numId w:val="6"/>
        </w:numPr>
        <w:spacing w:before="80" w:after="80" w:line="259" w:lineRule="auto"/>
        <w:ind w:left="993" w:hanging="426"/>
        <w:rPr>
          <w:rFonts w:ascii="Arial" w:hAnsi="Arial" w:cs="Arial"/>
        </w:rPr>
      </w:pPr>
      <w:r w:rsidRPr="005D5600">
        <w:rPr>
          <w:rFonts w:ascii="Arial" w:hAnsi="Arial" w:cs="Arial"/>
          <w:b/>
        </w:rPr>
        <w:t xml:space="preserve">infrastruktura drogowa nienadająca priorytetu transportowi publicznemu </w:t>
      </w:r>
      <w:r w:rsidR="005D5600">
        <w:rPr>
          <w:rFonts w:ascii="Arial" w:hAnsi="Arial" w:cs="Arial"/>
          <w:b/>
        </w:rPr>
        <w:br/>
      </w:r>
      <w:r w:rsidRPr="005D5600">
        <w:rPr>
          <w:rFonts w:ascii="Arial" w:hAnsi="Arial" w:cs="Arial"/>
          <w:b/>
        </w:rPr>
        <w:t>z uwagi na brak ekonomicznego uzasadnienia dla nadania takiego priorytetu, ale poprawiająca jakość funkcjonowania systemu miejskiego transportu publicznego</w:t>
      </w:r>
      <w:r w:rsidRPr="005D5600">
        <w:rPr>
          <w:rFonts w:ascii="Arial" w:hAnsi="Arial" w:cs="Arial"/>
        </w:rPr>
        <w:t xml:space="preserve">, np. odcinki dróg zapewniające dostęp do miejskich centrów przesiadkowych, pętli autobusowych/ tramwajowych, stacji kolejowych lub parkingów ,,Parkuj i Jedź”, itp. – łączące takie terminale z siecią dróg miejskich; odcinki dróg służące uruchomieniu transportu publicznego (na obszarach </w:t>
      </w:r>
      <w:r w:rsidRPr="005D5600">
        <w:rPr>
          <w:rFonts w:ascii="Arial" w:hAnsi="Arial" w:cs="Arial"/>
        </w:rPr>
        <w:lastRenderedPageBreak/>
        <w:t>wcześniej nieobsługiwanych) / przebudowie sieci transportu publicznego (wydatki w limicie mniejszości).</w:t>
      </w:r>
    </w:p>
    <w:p w14:paraId="6BAB871E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Inwestycje w odcinki dróg, o których mowa w p</w:t>
      </w:r>
      <w:r w:rsidR="009C429E" w:rsidRPr="005D5600">
        <w:rPr>
          <w:rFonts w:ascii="Arial" w:hAnsi="Arial" w:cs="Arial"/>
        </w:rPr>
        <w:t>odpunkcie</w:t>
      </w:r>
      <w:r w:rsidRPr="005D5600">
        <w:rPr>
          <w:rFonts w:ascii="Arial" w:hAnsi="Arial" w:cs="Arial"/>
        </w:rPr>
        <w:t xml:space="preserve"> c) nie mogą stanowić samodzielnych projektów.</w:t>
      </w:r>
    </w:p>
    <w:p w14:paraId="2E6B6EFA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</w:rPr>
        <w:t>W przypadku p</w:t>
      </w:r>
      <w:r w:rsidR="009C429E" w:rsidRPr="005D5600">
        <w:rPr>
          <w:rFonts w:ascii="Arial" w:hAnsi="Arial" w:cs="Arial"/>
        </w:rPr>
        <w:t>unktów</w:t>
      </w:r>
      <w:r w:rsidRPr="005D5600">
        <w:rPr>
          <w:rFonts w:ascii="Arial" w:hAnsi="Arial" w:cs="Arial"/>
        </w:rPr>
        <w:t xml:space="preserve"> 3, 4a i 4b inwestycje w inne elementy drogowe (np. jezdnia, nawierzchnia, obiekty inżynierskie, odwodnienie, bariery dźwiękochłonne, itp. mogą być współfinansowane wyłącznie w zakresie niezbędnym dla właściwego wykonywania robot drogowych dotyczących infrastruktury transportu publicznego jako </w:t>
      </w:r>
      <w:r w:rsidR="009C429E" w:rsidRPr="005D5600">
        <w:rPr>
          <w:rFonts w:ascii="Arial" w:hAnsi="Arial" w:cs="Arial"/>
        </w:rPr>
        <w:t xml:space="preserve">całości i uzasadnionych </w:t>
      </w:r>
      <w:r w:rsidR="00BE0CD7">
        <w:rPr>
          <w:rFonts w:ascii="Arial" w:hAnsi="Arial" w:cs="Arial"/>
        </w:rPr>
        <w:br/>
      </w:r>
      <w:r w:rsidR="009C429E" w:rsidRPr="005D5600">
        <w:rPr>
          <w:rFonts w:ascii="Arial" w:hAnsi="Arial" w:cs="Arial"/>
        </w:rPr>
        <w:t xml:space="preserve">z </w:t>
      </w:r>
      <w:r w:rsidRPr="005D5600">
        <w:rPr>
          <w:rFonts w:ascii="Arial" w:hAnsi="Arial" w:cs="Arial"/>
        </w:rPr>
        <w:t>punktu widzenia technologicznego. W szczególności, bez wykonania takich robot budowlanych nie jest możliwe wykonanie większości inwestycji transportu publicznego (np.</w:t>
      </w:r>
      <w:r w:rsidR="00BB4608">
        <w:rPr>
          <w:rFonts w:ascii="Arial" w:hAnsi="Arial" w:cs="Arial"/>
        </w:rPr>
        <w:t> </w:t>
      </w:r>
      <w:r w:rsidRPr="005D5600">
        <w:rPr>
          <w:rFonts w:ascii="Arial" w:hAnsi="Arial" w:cs="Arial"/>
        </w:rPr>
        <w:t xml:space="preserve">buspasa, parkingu ,,Parkuj i Jedź”) zgodnie z zasadami sztuki budowlanej oraz/lub inżynieryjnej i jej odbiór przez odpowiedni urząd wydający zgodę na użytkowanie. </w:t>
      </w:r>
    </w:p>
    <w:p w14:paraId="6A8D4801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  <w:b/>
        </w:rPr>
      </w:pPr>
      <w:r w:rsidRPr="005D5600">
        <w:rPr>
          <w:rFonts w:ascii="Arial" w:hAnsi="Arial" w:cs="Arial"/>
          <w:b/>
        </w:rPr>
        <w:t>O ile wszystkie powyższe kryteria celowościowe są spełnione przez projekt</w:t>
      </w:r>
      <w:r w:rsidRPr="005D5600">
        <w:rPr>
          <w:rFonts w:ascii="Arial" w:hAnsi="Arial" w:cs="Arial"/>
        </w:rPr>
        <w:t xml:space="preserve"> (projekt przyczynia się do szerszego wykorzystania bardziej efektywnego transportu publicznego oraz niezmotoryzowanego indywidualnego, do zmniejszenia wykorzystania samochodów osobowych, do</w:t>
      </w:r>
      <w:r w:rsidR="009C429E" w:rsidRPr="005D5600">
        <w:rPr>
          <w:rFonts w:ascii="Arial" w:hAnsi="Arial" w:cs="Arial"/>
        </w:rPr>
        <w:t xml:space="preserve"> </w:t>
      </w:r>
      <w:r w:rsidRPr="005D5600">
        <w:rPr>
          <w:rFonts w:ascii="Arial" w:hAnsi="Arial" w:cs="Arial"/>
        </w:rPr>
        <w:t>lepszej integracji gałęzi transportu, do niższej emisji zanieczyszczeń powietrza, hałasu oraz niższego zatłoczenia oraz do poprawy bezpieczeństwa ruchu drogowego)</w:t>
      </w:r>
      <w:r w:rsidR="009C429E" w:rsidRPr="005D5600">
        <w:rPr>
          <w:rFonts w:ascii="Arial" w:hAnsi="Arial" w:cs="Arial"/>
          <w:b/>
        </w:rPr>
        <w:t xml:space="preserve">, każda inwestycja w </w:t>
      </w:r>
      <w:r w:rsidRPr="005D5600">
        <w:rPr>
          <w:rFonts w:ascii="Arial" w:hAnsi="Arial" w:cs="Arial"/>
          <w:b/>
        </w:rPr>
        <w:t xml:space="preserve">element drogowy realizowany w ramach PI 4e może zostać zakwalifikowana do kategorii 043 Infrastruktura i promocja czystego transportu </w:t>
      </w:r>
      <w:r w:rsidR="009C429E" w:rsidRPr="005D5600">
        <w:rPr>
          <w:rFonts w:ascii="Arial" w:hAnsi="Arial" w:cs="Arial"/>
          <w:b/>
        </w:rPr>
        <w:t xml:space="preserve">miejskiego (w tym wyposażenie i </w:t>
      </w:r>
      <w:r w:rsidR="00641415">
        <w:rPr>
          <w:rFonts w:ascii="Arial" w:hAnsi="Arial" w:cs="Arial"/>
          <w:b/>
        </w:rPr>
        <w:t>tabor).</w:t>
      </w:r>
    </w:p>
    <w:p w14:paraId="491050BD" w14:textId="77777777" w:rsidR="006E03F5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  <w:b/>
        </w:rPr>
        <w:t>Wydatki dotyczące inwestycji, o których mowa w p</w:t>
      </w:r>
      <w:r w:rsidR="009C429E" w:rsidRPr="005D5600">
        <w:rPr>
          <w:rFonts w:ascii="Arial" w:hAnsi="Arial" w:cs="Arial"/>
          <w:b/>
        </w:rPr>
        <w:t>unkcie</w:t>
      </w:r>
      <w:r w:rsidRPr="005D5600">
        <w:rPr>
          <w:rFonts w:ascii="Arial" w:hAnsi="Arial" w:cs="Arial"/>
          <w:b/>
        </w:rPr>
        <w:t xml:space="preserve"> 1, 2, 3, 4a i 4b zostaną zaliczone do kategorii 043 i wyłączone z limitu mniejszości wydatków. Innymi słowy, inwestycje w tym zakresie są traktowane jako inwestycje bezpośrednio w transport publiczny, nie są one natomiast traktowane jako inwestycje w drogi lokalne.</w:t>
      </w:r>
    </w:p>
    <w:p w14:paraId="11F63E9A" w14:textId="77777777" w:rsidR="004B4F1C" w:rsidRPr="005D5600" w:rsidRDefault="006E03F5" w:rsidP="00BB4608">
      <w:pPr>
        <w:spacing w:before="80" w:after="80" w:line="259" w:lineRule="auto"/>
        <w:rPr>
          <w:rFonts w:ascii="Arial" w:hAnsi="Arial" w:cs="Arial"/>
        </w:rPr>
      </w:pPr>
      <w:r w:rsidRPr="005D5600">
        <w:rPr>
          <w:rFonts w:ascii="Arial" w:hAnsi="Arial" w:cs="Arial"/>
          <w:b/>
        </w:rPr>
        <w:t>Jeżeli zintegrowany projekt obejmuje inwestycje w infrastrukturę drogową, o której mowa w p</w:t>
      </w:r>
      <w:r w:rsidR="009C429E" w:rsidRPr="005D5600">
        <w:rPr>
          <w:rFonts w:ascii="Arial" w:hAnsi="Arial" w:cs="Arial"/>
          <w:b/>
        </w:rPr>
        <w:t>unkcie</w:t>
      </w:r>
      <w:r w:rsidRPr="005D5600">
        <w:rPr>
          <w:rFonts w:ascii="Arial" w:hAnsi="Arial" w:cs="Arial"/>
          <w:b/>
        </w:rPr>
        <w:t xml:space="preserve"> 4c, wydatki dotyczące inwestycji drogowych mogą zostać zaliczone do kategorii 043 ale zostaną wliczone w limit mniejszości wydatków. Innymi słowy, takie inwestycje uznawane są za inwestycje w drogi lokalne.</w:t>
      </w:r>
    </w:p>
    <w:sectPr w:rsidR="004B4F1C" w:rsidRPr="005D5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58DC1" w14:textId="77777777" w:rsidR="00BA35E4" w:rsidRDefault="00BA35E4" w:rsidP="00BA35E4">
      <w:pPr>
        <w:spacing w:after="0" w:line="240" w:lineRule="auto"/>
      </w:pPr>
      <w:r>
        <w:separator/>
      </w:r>
    </w:p>
  </w:endnote>
  <w:endnote w:type="continuationSeparator" w:id="0">
    <w:p w14:paraId="0CD03C7E" w14:textId="77777777" w:rsidR="00BA35E4" w:rsidRDefault="00BA35E4" w:rsidP="00BA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F2A20" w14:textId="77777777" w:rsidR="00F86922" w:rsidRDefault="00F869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102937"/>
      <w:docPartObj>
        <w:docPartGallery w:val="Page Numbers (Bottom of Page)"/>
        <w:docPartUnique/>
      </w:docPartObj>
    </w:sdtPr>
    <w:sdtEndPr/>
    <w:sdtContent>
      <w:p w14:paraId="3402F6BC" w14:textId="77777777" w:rsidR="00BA35E4" w:rsidRDefault="00BA35E4" w:rsidP="00BA35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08">
          <w:rPr>
            <w:noProof/>
          </w:rPr>
          <w:t>3</w:t>
        </w:r>
        <w:r>
          <w:fldChar w:fldCharType="end"/>
        </w:r>
      </w:p>
    </w:sdtContent>
  </w:sdt>
  <w:p w14:paraId="70C06256" w14:textId="77777777" w:rsidR="00BA35E4" w:rsidRDefault="00BA35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75CA6" w14:textId="77777777" w:rsidR="00F86922" w:rsidRDefault="00F869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92FC7" w14:textId="77777777" w:rsidR="00BA35E4" w:rsidRDefault="00BA35E4" w:rsidP="00BA35E4">
      <w:pPr>
        <w:spacing w:after="0" w:line="240" w:lineRule="auto"/>
      </w:pPr>
      <w:r>
        <w:separator/>
      </w:r>
    </w:p>
  </w:footnote>
  <w:footnote w:type="continuationSeparator" w:id="0">
    <w:p w14:paraId="5CEF48E2" w14:textId="77777777" w:rsidR="00BA35E4" w:rsidRDefault="00BA35E4" w:rsidP="00BA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EA55" w14:textId="77777777" w:rsidR="00F86922" w:rsidRDefault="00F869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48A1A" w14:textId="77777777" w:rsidR="00F86922" w:rsidRDefault="00F869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A6B5" w14:textId="77777777" w:rsidR="00F86922" w:rsidRDefault="00F86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B6780"/>
    <w:multiLevelType w:val="multilevel"/>
    <w:tmpl w:val="20A25398"/>
    <w:lvl w:ilvl="0">
      <w:start w:val="1"/>
      <w:numFmt w:val="upperRoman"/>
      <w:pStyle w:val="SzOOP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zOOP2"/>
      <w:lvlText w:val="%1.%2."/>
      <w:lvlJc w:val="left"/>
      <w:pPr>
        <w:ind w:left="5699" w:hanging="73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6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891447"/>
    <w:multiLevelType w:val="hybridMultilevel"/>
    <w:tmpl w:val="557287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4A0CAE"/>
    <w:multiLevelType w:val="hybridMultilevel"/>
    <w:tmpl w:val="9112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45F6"/>
    <w:multiLevelType w:val="hybridMultilevel"/>
    <w:tmpl w:val="CCB84F86"/>
    <w:lvl w:ilvl="0" w:tplc="46EE846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8E18BE"/>
    <w:multiLevelType w:val="hybridMultilevel"/>
    <w:tmpl w:val="F162D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B0CEC"/>
    <w:multiLevelType w:val="hybridMultilevel"/>
    <w:tmpl w:val="E5885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CC"/>
    <w:rsid w:val="00035FF4"/>
    <w:rsid w:val="000C201A"/>
    <w:rsid w:val="00140826"/>
    <w:rsid w:val="00182E6A"/>
    <w:rsid w:val="001A1A74"/>
    <w:rsid w:val="002D2E66"/>
    <w:rsid w:val="00353363"/>
    <w:rsid w:val="003E697C"/>
    <w:rsid w:val="004B1619"/>
    <w:rsid w:val="00560949"/>
    <w:rsid w:val="005D5600"/>
    <w:rsid w:val="00641415"/>
    <w:rsid w:val="006D7BCA"/>
    <w:rsid w:val="006E03F5"/>
    <w:rsid w:val="00722281"/>
    <w:rsid w:val="00730AE2"/>
    <w:rsid w:val="00744F69"/>
    <w:rsid w:val="007943FE"/>
    <w:rsid w:val="0082784D"/>
    <w:rsid w:val="008D2E27"/>
    <w:rsid w:val="00974A07"/>
    <w:rsid w:val="009C429E"/>
    <w:rsid w:val="00A36AF2"/>
    <w:rsid w:val="00A560D2"/>
    <w:rsid w:val="00B80ACC"/>
    <w:rsid w:val="00BA090E"/>
    <w:rsid w:val="00BA35E4"/>
    <w:rsid w:val="00BB0DBD"/>
    <w:rsid w:val="00BB4608"/>
    <w:rsid w:val="00BE0CD7"/>
    <w:rsid w:val="00C27756"/>
    <w:rsid w:val="00D93F56"/>
    <w:rsid w:val="00E25085"/>
    <w:rsid w:val="00F86922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08C759"/>
  <w15:chartTrackingRefBased/>
  <w15:docId w15:val="{02948FD0-7010-4C97-BC69-F2DCBC3E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AC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DBD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DBD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OOP">
    <w:name w:val="SzOOP"/>
    <w:basedOn w:val="Nagwek1"/>
    <w:qFormat/>
    <w:rsid w:val="00B80ACC"/>
    <w:pPr>
      <w:keepLines w:val="0"/>
      <w:numPr>
        <w:numId w:val="1"/>
      </w:numPr>
      <w:tabs>
        <w:tab w:val="num" w:pos="360"/>
      </w:tabs>
      <w:spacing w:after="60"/>
      <w:ind w:left="0" w:firstLine="0"/>
    </w:pPr>
    <w:rPr>
      <w:rFonts w:ascii="Calibri" w:eastAsia="Times New Roman" w:hAnsi="Calibri" w:cs="Times New Roman"/>
      <w:b w:val="0"/>
      <w:bCs/>
      <w:kern w:val="32"/>
      <w:szCs w:val="18"/>
    </w:rPr>
  </w:style>
  <w:style w:type="paragraph" w:customStyle="1" w:styleId="SzOOP2">
    <w:name w:val="SzOOP 2"/>
    <w:basedOn w:val="Nagwek2"/>
    <w:qFormat/>
    <w:rsid w:val="00B80ACC"/>
    <w:pPr>
      <w:keepLines w:val="0"/>
      <w:numPr>
        <w:ilvl w:val="1"/>
        <w:numId w:val="1"/>
      </w:numPr>
      <w:tabs>
        <w:tab w:val="num" w:pos="360"/>
        <w:tab w:val="left" w:pos="992"/>
      </w:tabs>
      <w:spacing w:after="60"/>
      <w:ind w:left="0" w:firstLine="0"/>
    </w:pPr>
    <w:rPr>
      <w:rFonts w:ascii="Calibri" w:eastAsia="Times New Roman" w:hAnsi="Calibri" w:cs="Times New Roman"/>
      <w:b w:val="0"/>
      <w:bCs/>
      <w:iCs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DBD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DBD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A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5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5E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5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94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94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do Szczegółowego Opisu Osi Priorytetowych - Zrównoważona intermodalna mobilność miejska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do Szczegółowego Opisu Osi Priorytetowych - Zrównoważona intermodalna mobilność miejska</dc:title>
  <dc:subject/>
  <dc:creator>Lis Ewelina</dc:creator>
  <cp:keywords/>
  <dc:description/>
  <cp:lastModifiedBy>Regeńczuk Eliza</cp:lastModifiedBy>
  <cp:revision>26</cp:revision>
  <cp:lastPrinted>2022-09-27T12:07:00Z</cp:lastPrinted>
  <dcterms:created xsi:type="dcterms:W3CDTF">2016-04-05T12:16:00Z</dcterms:created>
  <dcterms:modified xsi:type="dcterms:W3CDTF">2022-09-27T12:59:00Z</dcterms:modified>
</cp:coreProperties>
</file>