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7C58" w14:textId="77777777" w:rsidR="007C5B4C" w:rsidRPr="00717F37" w:rsidRDefault="007C5B4C" w:rsidP="007C5B4C">
      <w:pPr>
        <w:autoSpaceDE w:val="0"/>
        <w:autoSpaceDN w:val="0"/>
        <w:spacing w:line="360" w:lineRule="auto"/>
        <w:jc w:val="both"/>
        <w:rPr>
          <w:rFonts w:ascii="Arial" w:eastAsiaTheme="minorHAnsi" w:hAnsi="Arial" w:cs="Arial"/>
          <w:b/>
          <w:bCs/>
          <w:sz w:val="18"/>
          <w:szCs w:val="18"/>
        </w:rPr>
      </w:pPr>
      <w:r w:rsidRPr="00717F37">
        <w:rPr>
          <w:rFonts w:ascii="Arial" w:hAnsi="Arial" w:cs="Arial"/>
          <w:b/>
          <w:bCs/>
          <w:sz w:val="18"/>
          <w:szCs w:val="18"/>
        </w:rPr>
        <w:t>Priorytet IX – Mazowsze bliższe obywatelom dzięki Funduszom Europejskim</w:t>
      </w:r>
    </w:p>
    <w:p w14:paraId="1D0DF6D4" w14:textId="77FA63A5" w:rsidR="00CA26F4" w:rsidRPr="00717F37" w:rsidRDefault="007C5B4C" w:rsidP="007C5B4C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717F37">
        <w:rPr>
          <w:rFonts w:ascii="Arial" w:hAnsi="Arial" w:cs="Arial"/>
          <w:b/>
          <w:bCs/>
          <w:sz w:val="18"/>
          <w:szCs w:val="18"/>
        </w:rPr>
        <w:t>Działanie 9.</w:t>
      </w:r>
      <w:r w:rsidR="00CA26F4" w:rsidRPr="00CA26F4">
        <w:t xml:space="preserve"> </w:t>
      </w:r>
      <w:r w:rsidR="00CA26F4" w:rsidRPr="00CA26F4">
        <w:rPr>
          <w:rFonts w:ascii="Arial" w:hAnsi="Arial" w:cs="Arial"/>
          <w:b/>
          <w:bCs/>
          <w:sz w:val="18"/>
          <w:szCs w:val="18"/>
        </w:rPr>
        <w:t>2 Rewitalizacja obszarów inne niż miejskie</w:t>
      </w:r>
    </w:p>
    <w:p w14:paraId="0F7B6869" w14:textId="77777777" w:rsidR="007C5B4C" w:rsidRPr="00717F37" w:rsidRDefault="007C5B4C" w:rsidP="007C5B4C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17F37">
        <w:rPr>
          <w:rFonts w:ascii="Arial" w:hAnsi="Arial" w:cs="Arial"/>
          <w:b/>
          <w:bCs/>
          <w:sz w:val="18"/>
          <w:szCs w:val="18"/>
        </w:rPr>
        <w:t>Typ projektów – Rewitalizacja obszarów zdegradowanych</w:t>
      </w:r>
    </w:p>
    <w:p w14:paraId="0C614D47" w14:textId="77777777" w:rsidR="007C5B4C" w:rsidRPr="00717F37" w:rsidRDefault="007C5B4C" w:rsidP="007C5B4C">
      <w:pPr>
        <w:pStyle w:val="Nagwek2"/>
        <w:jc w:val="both"/>
        <w:rPr>
          <w:rFonts w:cs="Arial"/>
          <w:color w:val="000000"/>
          <w:sz w:val="18"/>
          <w:szCs w:val="18"/>
          <w:lang w:val="pl-PL"/>
        </w:rPr>
      </w:pPr>
      <w:r w:rsidRPr="00717F37">
        <w:rPr>
          <w:rFonts w:cs="Arial"/>
          <w:color w:val="000000"/>
          <w:sz w:val="18"/>
          <w:szCs w:val="18"/>
          <w:lang w:val="pl-PL"/>
        </w:rPr>
        <w:t>1.</w:t>
      </w:r>
      <w:r w:rsidRPr="00717F37">
        <w:rPr>
          <w:rFonts w:cs="Arial"/>
          <w:color w:val="000000"/>
          <w:sz w:val="18"/>
          <w:szCs w:val="18"/>
        </w:rPr>
        <w:t xml:space="preserve"> KRYTERIA </w:t>
      </w:r>
      <w:r w:rsidRPr="00717F37">
        <w:rPr>
          <w:rFonts w:cs="Arial"/>
          <w:color w:val="000000"/>
          <w:sz w:val="18"/>
          <w:szCs w:val="18"/>
          <w:lang w:val="pl-PL"/>
        </w:rPr>
        <w:t>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755"/>
        <w:gridCol w:w="8988"/>
        <w:gridCol w:w="1517"/>
        <w:gridCol w:w="1584"/>
      </w:tblGrid>
      <w:tr w:rsidR="007C5B4C" w:rsidRPr="00717F37" w14:paraId="58D0FD4D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717F37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7C5B4C" w:rsidRPr="00717F37" w14:paraId="4FA8766E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6310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52D3" w14:textId="77777777" w:rsidR="007C5B4C" w:rsidRPr="00717F37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Miejsce realizacji projektu 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47E2" w14:textId="507A0DE6" w:rsidR="007C5B4C" w:rsidRPr="00717F37" w:rsidRDefault="00CA26F4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26F4">
              <w:rPr>
                <w:rFonts w:ascii="Arial" w:hAnsi="Arial" w:cs="Arial"/>
                <w:sz w:val="18"/>
                <w:szCs w:val="18"/>
              </w:rPr>
              <w:t>Zgodnie z programem Fundusze Europejskie dla Mazowsza 2021-2027, projekt musi być realizowany na obszarach wiejskich (gminy wiejskie).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911A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70C7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tr w:rsidR="007C5B4C" w:rsidRPr="00717F37" w14:paraId="3AD5D284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48C9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ECEF" w14:textId="77777777" w:rsidR="007C5B4C" w:rsidRPr="00717F37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bCs/>
                <w:sz w:val="18"/>
                <w:szCs w:val="18"/>
              </w:rPr>
              <w:t>Gminny program rewitalizacji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337" w14:textId="77777777" w:rsidR="007C5B4C" w:rsidRPr="00717F37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 xml:space="preserve">Zgodnie z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2021 - 2027, kwalifikowalne do dofinansowania będą projekty wynikające z </w:t>
            </w:r>
            <w:r>
              <w:rPr>
                <w:rFonts w:ascii="Arial" w:hAnsi="Arial" w:cs="Arial"/>
                <w:sz w:val="18"/>
                <w:szCs w:val="18"/>
              </w:rPr>
              <w:t>gminnych programów rewitalizacji,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wpisanych do Wykazu programów rewitalizacji województwa mazowieckiego</w:t>
            </w:r>
            <w:r>
              <w:rPr>
                <w:rFonts w:ascii="Arial" w:hAnsi="Arial" w:cs="Arial"/>
                <w:sz w:val="18"/>
                <w:szCs w:val="18"/>
              </w:rPr>
              <w:t xml:space="preserve">, według stanu na ostatni dzień naboru wniosków. </w:t>
            </w:r>
          </w:p>
          <w:p w14:paraId="48391F61" w14:textId="77777777" w:rsidR="007C5B4C" w:rsidRPr="00717F37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</w:tbl>
    <w:p w14:paraId="37F9D2B1" w14:textId="77777777" w:rsidR="007C5B4C" w:rsidRDefault="007C5B4C" w:rsidP="007C5B4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DAC0D1C" w14:textId="77777777" w:rsidR="006577CD" w:rsidRPr="00717F37" w:rsidRDefault="006577CD" w:rsidP="00CA2BD0">
      <w:pPr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Hlk150428718"/>
      <w:bookmarkStart w:id="1" w:name="_Hlk150428891"/>
      <w:r w:rsidRPr="00717F37">
        <w:rPr>
          <w:rFonts w:ascii="Arial" w:hAnsi="Arial" w:cs="Arial"/>
          <w:b/>
          <w:bCs/>
          <w:sz w:val="18"/>
          <w:szCs w:val="18"/>
        </w:rPr>
        <w:t>2. KRYTERIA MERYTORYCZNE SZCZEGÓŁOWE</w:t>
      </w:r>
    </w:p>
    <w:tbl>
      <w:tblPr>
        <w:tblW w:w="14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64"/>
        <w:gridCol w:w="4527"/>
        <w:gridCol w:w="4079"/>
        <w:gridCol w:w="1327"/>
        <w:gridCol w:w="1321"/>
      </w:tblGrid>
      <w:tr w:rsidR="006577CD" w:rsidRPr="00717F37" w14:paraId="4F938C0D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D0B4" w14:textId="77777777" w:rsidR="00E511F8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Lp</w:t>
            </w:r>
            <w:proofErr w:type="spellEnd"/>
          </w:p>
          <w:p w14:paraId="1E764197" w14:textId="77777777" w:rsidR="00E511F8" w:rsidRPr="00717F37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FA2C" w14:textId="77777777" w:rsidR="006577CD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  <w:p w14:paraId="6E904C4A" w14:textId="77777777" w:rsidR="00E511F8" w:rsidRPr="00717F37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98B6" w14:textId="77777777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5244" w14:textId="77777777" w:rsidR="006577CD" w:rsidRPr="00717F37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6AD80" w14:textId="77777777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Maksymalna liczba punktów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D8B" w14:textId="77777777" w:rsidR="006577CD" w:rsidRPr="00717F37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6577CD" w:rsidRPr="00717F37" w14:paraId="4B462BCC" w14:textId="77777777" w:rsidTr="00504EE5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0A09E" w14:textId="77777777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" w:name="_Hlk128997210"/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EBBB0" w14:textId="77777777" w:rsidR="006577CD" w:rsidRPr="00717F37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Zgodność projektu </w:t>
            </w:r>
          </w:p>
          <w:p w14:paraId="7F035D86" w14:textId="77777777" w:rsidR="006577CD" w:rsidRPr="00717F37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z programem rewitalizacji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27D0FF" w14:textId="45CF7120" w:rsidR="006577CD" w:rsidRPr="00717F37" w:rsidRDefault="005E3B1E" w:rsidP="00CC7C9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Kryterium premiuje projekty, które są</w:t>
            </w:r>
            <w:r w:rsidR="0019282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zgodn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 obowiązującym (</w:t>
            </w:r>
            <w:r w:rsidR="00D632A5" w:rsidRPr="00D632A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według stanu na ostatni dzień naboru wniosków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 właściwym miejscowo programem rewitalizacji.</w:t>
            </w:r>
          </w:p>
          <w:p w14:paraId="6793A82D" w14:textId="08508C15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Program rewitalizacji musi znajdować się w Wykazie programów rewitalizacji województwa mazowieckiego.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A7BEAF" w14:textId="1D55AD3D" w:rsidR="006577CD" w:rsidRPr="00717F37" w:rsidRDefault="004A69E3" w:rsidP="00CC7C9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rojekt znajduje się na liście projektów podstawowych w programie rewitalizacji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 8 pkt.</w:t>
            </w:r>
          </w:p>
          <w:p w14:paraId="0C4B0E7A" w14:textId="77777777" w:rsidR="003604CE" w:rsidRDefault="003604CE" w:rsidP="00CC7C9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771C10" w14:textId="77777777" w:rsidR="003604CE" w:rsidRPr="00717F37" w:rsidRDefault="008409C8" w:rsidP="00CC7C9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22BE">
              <w:rPr>
                <w:rFonts w:ascii="Arial" w:hAnsi="Arial"/>
                <w:color w:val="000000"/>
                <w:sz w:val="18"/>
              </w:rPr>
              <w:t>Brak spełnienia wyżej wymienionych warunków lub brak informacji w tym zakresie we wniosku o dofinansowanie – 0 pkt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C5F11" w14:textId="77777777" w:rsidR="006577CD" w:rsidRPr="00717F37" w:rsidRDefault="00B42B48" w:rsidP="00CC7C9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CD11" w14:textId="77777777" w:rsidR="006577CD" w:rsidRDefault="00B55DD6" w:rsidP="00CC7C9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  <w:p w14:paraId="6B62E05C" w14:textId="77777777" w:rsidR="00B55DD6" w:rsidRPr="00717F37" w:rsidRDefault="00B55DD6" w:rsidP="00CC7C9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bookmarkEnd w:id="2"/>
      <w:tr w:rsidR="005E3B1E" w:rsidRPr="00717F37" w14:paraId="49DDD196" w14:textId="77777777" w:rsidTr="0019282A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B0D0B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005A53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Stan przygotowania projektu do realizacji</w:t>
            </w:r>
          </w:p>
        </w:tc>
        <w:tc>
          <w:tcPr>
            <w:tcW w:w="4527" w:type="dxa"/>
          </w:tcPr>
          <w:p w14:paraId="4D96219B" w14:textId="40C06B2C" w:rsidR="005E3B1E" w:rsidRPr="005E3B1E" w:rsidRDefault="00D632A5" w:rsidP="00F222B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 o wysokim stopniu przygotowania do realizacji, </w:t>
            </w:r>
          </w:p>
        </w:tc>
        <w:tc>
          <w:tcPr>
            <w:tcW w:w="4079" w:type="dxa"/>
          </w:tcPr>
          <w:p w14:paraId="13941007" w14:textId="77777777" w:rsidR="005E3B1E" w:rsidRPr="00F222BE" w:rsidRDefault="005E3B1E" w:rsidP="005E3B1E">
            <w:p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F222BE">
              <w:rPr>
                <w:rFonts w:ascii="Arial" w:hAnsi="Arial"/>
                <w:color w:val="000000"/>
                <w:sz w:val="18"/>
              </w:rPr>
              <w:t>Wnioskodawca posiada wszystkie wymagane prawem polskim ostateczne decyzje administracyjne, pozwalające na realizację całości inwestycji lub realizacja inwestycji nie wymaga uzyskania ww. decyzji) – 2 pkt;</w:t>
            </w:r>
          </w:p>
          <w:p w14:paraId="3237926B" w14:textId="77777777" w:rsidR="005E3B1E" w:rsidRPr="00F222BE" w:rsidRDefault="005E3B1E" w:rsidP="005E3B1E">
            <w:pPr>
              <w:pStyle w:val="Akapitzlist"/>
              <w:spacing w:after="0" w:line="240" w:lineRule="auto"/>
              <w:ind w:left="133"/>
              <w:rPr>
                <w:rFonts w:ascii="Arial" w:hAnsi="Arial"/>
                <w:color w:val="000000"/>
                <w:sz w:val="18"/>
              </w:rPr>
            </w:pPr>
          </w:p>
          <w:p w14:paraId="18F8DD5A" w14:textId="77777777" w:rsidR="005E3B1E" w:rsidRPr="005E3B1E" w:rsidDel="004A69E3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22BE">
              <w:rPr>
                <w:rFonts w:ascii="Arial" w:hAnsi="Arial"/>
                <w:color w:val="000000"/>
                <w:sz w:val="18"/>
              </w:rPr>
              <w:t>Brak spełnienia wyżej wymienionych warunków lub brak informacji w tym zakresie we wniosku o dofinansowanie – 0 pkt.</w:t>
            </w:r>
          </w:p>
        </w:tc>
        <w:tc>
          <w:tcPr>
            <w:tcW w:w="1327" w:type="dxa"/>
            <w:shd w:val="clear" w:color="auto" w:fill="auto"/>
          </w:tcPr>
          <w:p w14:paraId="1E508E4E" w14:textId="77777777" w:rsidR="005E3B1E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14:paraId="136FFA30" w14:textId="77777777" w:rsidR="005E3B1E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52C33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5E3B1E" w:rsidRPr="00717F37" w14:paraId="556B9EC6" w14:textId="77777777" w:rsidTr="00504EE5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BE52A3" w14:textId="2613DB13" w:rsidR="005E3B1E" w:rsidRPr="00717F37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752DAD" w14:textId="77777777" w:rsidR="005E3B1E" w:rsidRPr="00E511F8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11F8">
              <w:rPr>
                <w:rFonts w:ascii="Arial" w:hAnsi="Arial" w:cs="Arial"/>
                <w:b/>
                <w:bCs/>
                <w:sz w:val="18"/>
                <w:szCs w:val="18"/>
              </w:rPr>
              <w:t>Mazowieckie strukturalne inwestycje terytorialne (MSIT)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66265B" w14:textId="01D63DCB" w:rsidR="005E3B1E" w:rsidRPr="00717F37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B1E">
              <w:rPr>
                <w:rFonts w:ascii="Arial" w:hAnsi="Arial" w:cs="Arial"/>
                <w:sz w:val="18"/>
                <w:szCs w:val="18"/>
              </w:rPr>
              <w:t xml:space="preserve">Kryterium premiuje projekty, które </w:t>
            </w:r>
            <w:r>
              <w:rPr>
                <w:rFonts w:ascii="Arial" w:hAnsi="Arial" w:cs="Arial"/>
                <w:sz w:val="18"/>
                <w:szCs w:val="18"/>
              </w:rPr>
              <w:t xml:space="preserve">są </w:t>
            </w:r>
            <w:r w:rsidRPr="00717F37">
              <w:rPr>
                <w:rFonts w:ascii="Arial" w:hAnsi="Arial" w:cs="Arial"/>
                <w:sz w:val="18"/>
                <w:szCs w:val="18"/>
              </w:rPr>
              <w:t>realizowan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717F37">
              <w:rPr>
                <w:rFonts w:ascii="Arial" w:hAnsi="Arial" w:cs="Arial"/>
                <w:sz w:val="18"/>
                <w:szCs w:val="18"/>
              </w:rPr>
              <w:t>w ramach M</w:t>
            </w:r>
            <w:r>
              <w:rPr>
                <w:rFonts w:ascii="Arial" w:hAnsi="Arial" w:cs="Arial"/>
                <w:sz w:val="18"/>
                <w:szCs w:val="18"/>
              </w:rPr>
              <w:t xml:space="preserve">azowieckich </w:t>
            </w:r>
            <w:r w:rsidRPr="00717F37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trukturalnych </w:t>
            </w:r>
            <w:r w:rsidRPr="00717F37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nwestycji </w:t>
            </w:r>
            <w:r w:rsidRPr="00717F3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erytorialnych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D632A5">
              <w:rPr>
                <w:rFonts w:ascii="Arial" w:hAnsi="Arial" w:cs="Arial"/>
                <w:sz w:val="18"/>
                <w:szCs w:val="18"/>
              </w:rPr>
              <w:t xml:space="preserve">sprawdza </w:t>
            </w:r>
            <w:r w:rsidRPr="00717F37">
              <w:rPr>
                <w:rFonts w:ascii="Arial" w:hAnsi="Arial" w:cs="Arial"/>
                <w:sz w:val="18"/>
                <w:szCs w:val="18"/>
              </w:rPr>
              <w:t>czy wynika z przyjętej właściwej strategii rozwoju ponadlokalnego lub strategii terytorialnej, pozytywnie zaopiniowanej przez I</w:t>
            </w:r>
            <w:r>
              <w:rPr>
                <w:rFonts w:ascii="Arial" w:hAnsi="Arial" w:cs="Arial"/>
                <w:sz w:val="18"/>
                <w:szCs w:val="18"/>
              </w:rPr>
              <w:t xml:space="preserve">nstytucję </w:t>
            </w:r>
            <w:r w:rsidRPr="00717F37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arządzającą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2021-2027 </w:t>
            </w:r>
          </w:p>
          <w:p w14:paraId="1CDA491A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D332E54" w14:textId="77777777" w:rsidR="005E3B1E" w:rsidRPr="00717F37" w:rsidRDefault="005E3B1E" w:rsidP="005E3B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53C16" w14:textId="77777777" w:rsidR="005E3B1E" w:rsidRPr="00717F37" w:rsidRDefault="005E3B1E" w:rsidP="005E3B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EDD4E" w14:textId="77777777" w:rsidR="005E3B1E" w:rsidRPr="00717F37" w:rsidDel="00CB03D7" w:rsidRDefault="005E3B1E" w:rsidP="005E3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5CAD7C" w14:textId="77777777" w:rsidR="005E3B1E" w:rsidRPr="00717F37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785812" w14:textId="39D76F64" w:rsidR="005E3B1E" w:rsidRPr="00717F37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17F37">
              <w:rPr>
                <w:rFonts w:ascii="Arial" w:hAnsi="Arial" w:cs="Arial"/>
                <w:sz w:val="18"/>
                <w:szCs w:val="18"/>
              </w:rPr>
              <w:t>rojekt wynik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z właściwej strategii rozwoju ponadlokalnego/strategii terytorialnej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5B1DED7C" w14:textId="18D93289" w:rsidR="005E3B1E" w:rsidRPr="00F222BE" w:rsidRDefault="005E3B1E" w:rsidP="00F222BE">
            <w:pPr>
              <w:spacing w:after="0"/>
              <w:rPr>
                <w:rFonts w:ascii="Arial" w:hAnsi="Arial"/>
                <w:sz w:val="18"/>
              </w:rPr>
            </w:pPr>
            <w:r w:rsidRPr="00F222BE">
              <w:rPr>
                <w:rFonts w:ascii="Arial" w:hAnsi="Arial"/>
                <w:sz w:val="18"/>
              </w:rPr>
              <w:t>Brak spełnienia powyższego warunku lub brak informacji w tym zakresie we wniosku o dofinasowanie – 0 pkt</w:t>
            </w:r>
          </w:p>
          <w:p w14:paraId="262CA6D5" w14:textId="77777777" w:rsidR="005E3B1E" w:rsidRPr="00717F37" w:rsidDel="00CB03D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090BBA" w14:textId="29DE827B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9F2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0EE6ECDF" w14:textId="77777777" w:rsidTr="00504EE5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76B" w14:textId="494F7BA5" w:rsidR="005E3B1E" w:rsidRPr="00717F37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4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685" w14:textId="77777777" w:rsidR="005E3B1E" w:rsidRPr="00E511F8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11F8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Obszar realizacji projektu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D35" w14:textId="65CFA87B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B1E">
              <w:rPr>
                <w:rFonts w:cs="Arial"/>
                <w:color w:val="00000A"/>
                <w:sz w:val="18"/>
                <w:szCs w:val="18"/>
              </w:rPr>
              <w:t xml:space="preserve">Kryterium premiuje projekty, które są </w:t>
            </w:r>
            <w:r>
              <w:rPr>
                <w:rFonts w:cs="Arial"/>
                <w:color w:val="00000A"/>
                <w:sz w:val="18"/>
                <w:szCs w:val="18"/>
              </w:rPr>
              <w:t xml:space="preserve"> realizowane </w:t>
            </w: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 na obszarze strategicznej interwencji (OSI) wyznaczonym w Krajowej Strategii Rozwoju Regionalnego (KSRR) i wynikającym ze Strategii Rozwoju Województwa Mazowieckiego 2030+ </w:t>
            </w:r>
          </w:p>
          <w:p w14:paraId="1E505945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17F37">
              <w:rPr>
                <w:rFonts w:ascii="Arial" w:hAnsi="Arial" w:cs="Arial"/>
                <w:color w:val="00000A"/>
                <w:sz w:val="18"/>
                <w:szCs w:val="18"/>
              </w:rPr>
              <w:t xml:space="preserve">(Załącznik nr  1 i 2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do </w:t>
            </w:r>
            <w:r w:rsidRPr="00717F37">
              <w:rPr>
                <w:rFonts w:ascii="Arial" w:hAnsi="Arial" w:cs="Arial"/>
                <w:color w:val="00000A"/>
                <w:sz w:val="18"/>
                <w:szCs w:val="18"/>
              </w:rPr>
              <w:t xml:space="preserve">KSRR) </w:t>
            </w:r>
          </w:p>
          <w:p w14:paraId="0B7D7CB1" w14:textId="77777777" w:rsidR="005E3B1E" w:rsidRPr="00717F37" w:rsidDel="00CB03D7" w:rsidRDefault="00000000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hyperlink r:id="rId6" w:history="1">
              <w:r w:rsidR="005E3B1E" w:rsidRPr="009A4224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https://www.gov.pl/web/fundusze-regiony/krajowa-strategia-rozwoju-regionalnego</w:t>
              </w:r>
            </w:hyperlink>
            <w:r w:rsidR="005E3B1E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6DC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Projekt :</w:t>
            </w:r>
          </w:p>
          <w:p w14:paraId="7B82177A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• realizowany będzie na terenie gminy zagrożonej trwałą marginalizacją (załącznik nr 1 KSRR) </w:t>
            </w:r>
            <w:r>
              <w:rPr>
                <w:rFonts w:cs="Arial"/>
                <w:color w:val="00000A"/>
                <w:sz w:val="18"/>
                <w:szCs w:val="18"/>
              </w:rPr>
              <w:t>–</w:t>
            </w: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 2 pkt </w:t>
            </w:r>
          </w:p>
          <w:p w14:paraId="48CB9031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• realizowany będzie na terenie średniego miasta zagrożonego utratą funkcji społeczno- gospodarczych (załącznik nr 2 KSRR) – 2 pkt.</w:t>
            </w:r>
          </w:p>
          <w:p w14:paraId="44677ECB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178072A" w14:textId="77777777" w:rsidR="008409C8" w:rsidRPr="00717F37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Punktacja w ramach kryterium  nie podlega sumowaniu.</w:t>
            </w:r>
          </w:p>
          <w:p w14:paraId="04B7B2CC" w14:textId="77777777" w:rsidR="008409C8" w:rsidRPr="00717F37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1652FC1A" w14:textId="77777777" w:rsidR="008409C8" w:rsidRDefault="008409C8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089E2992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Brak spełnienia wyżej wymienionych warunków lub brak informacji w tym zakresie</w:t>
            </w:r>
            <w:r>
              <w:rPr>
                <w:rFonts w:cs="Arial"/>
                <w:color w:val="00000A"/>
                <w:sz w:val="18"/>
                <w:szCs w:val="18"/>
              </w:rPr>
              <w:t xml:space="preserve"> we wniosku o dofinansowanie </w:t>
            </w: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 – 0 pkt.</w:t>
            </w:r>
          </w:p>
          <w:p w14:paraId="36AD7B64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91BC0C8" w14:textId="77777777" w:rsidR="005E3B1E" w:rsidRPr="00717F37" w:rsidDel="00CB03D7" w:rsidRDefault="005E3B1E" w:rsidP="006F6814">
            <w:pPr>
              <w:pStyle w:val="przypisy"/>
              <w:spacing w:after="0" w:line="70" w:lineRule="atLeas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9040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A7B1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04EE5" w:rsidRPr="00504EE5" w14:paraId="66397530" w14:textId="77777777" w:rsidTr="0019282A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FF" w14:textId="123152F9" w:rsidR="00504EE5" w:rsidRPr="006F6814" w:rsidRDefault="00504EE5" w:rsidP="0019282A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>
              <w:rPr>
                <w:rFonts w:cs="Arial"/>
                <w:color w:val="00000A"/>
                <w:sz w:val="18"/>
                <w:szCs w:val="18"/>
              </w:rPr>
              <w:t>5</w:t>
            </w:r>
            <w:r w:rsidRPr="0019282A">
              <w:rPr>
                <w:rFonts w:cs="Arial"/>
                <w:color w:val="00000A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450" w14:textId="0948CACA" w:rsidR="00504EE5" w:rsidRPr="00490E6D" w:rsidDel="00CB03D7" w:rsidRDefault="00504EE5" w:rsidP="00490E6D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490E6D">
              <w:rPr>
                <w:rFonts w:cs="Arial"/>
                <w:color w:val="00000A"/>
                <w:sz w:val="18"/>
                <w:szCs w:val="18"/>
              </w:rPr>
              <w:t>Partnerstwo w ramach Centrum Wsparcia Doradczego (CWD)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0163" w14:textId="069C4253" w:rsidR="00504EE5" w:rsidRPr="00490E6D" w:rsidDel="00CB03D7" w:rsidRDefault="00504EE5" w:rsidP="00490E6D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490E6D">
              <w:rPr>
                <w:rFonts w:cs="Arial"/>
                <w:color w:val="00000A"/>
                <w:sz w:val="18"/>
                <w:szCs w:val="18"/>
              </w:rPr>
              <w:t>Kryterium premiuje projekty, które wynikają z przyjętej właściwej strategii terytorialnej partnerstwa utworzonego w ramach CWD.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08F" w14:textId="3B3667CA" w:rsidR="00504EE5" w:rsidRPr="00504EE5" w:rsidRDefault="00504EE5" w:rsidP="00504EE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04EE5">
              <w:rPr>
                <w:rFonts w:cs="Arial"/>
                <w:color w:val="00000A"/>
                <w:sz w:val="18"/>
                <w:szCs w:val="18"/>
              </w:rPr>
              <w:t xml:space="preserve">Projekt wynika z właściwej strategii terytorialnej partnerstwa utworzonego w ramach CWD – </w:t>
            </w:r>
            <w:r w:rsidR="0015239A">
              <w:rPr>
                <w:rFonts w:cs="Arial"/>
                <w:color w:val="00000A"/>
                <w:sz w:val="18"/>
                <w:szCs w:val="18"/>
              </w:rPr>
              <w:t>2</w:t>
            </w:r>
            <w:r w:rsidRPr="00504EE5">
              <w:rPr>
                <w:rFonts w:cs="Arial"/>
                <w:color w:val="00000A"/>
                <w:sz w:val="18"/>
                <w:szCs w:val="18"/>
              </w:rPr>
              <w:t xml:space="preserve"> pkt.</w:t>
            </w:r>
          </w:p>
          <w:p w14:paraId="07BE53E4" w14:textId="77777777" w:rsidR="00504EE5" w:rsidRPr="00504EE5" w:rsidRDefault="00504EE5" w:rsidP="00504EE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04EE5">
              <w:rPr>
                <w:rFonts w:cs="Arial"/>
                <w:color w:val="00000A"/>
                <w:sz w:val="18"/>
                <w:szCs w:val="18"/>
              </w:rPr>
              <w:t xml:space="preserve"> </w:t>
            </w:r>
          </w:p>
          <w:p w14:paraId="1665205D" w14:textId="30DA1A38" w:rsidR="00504EE5" w:rsidRPr="00490E6D" w:rsidDel="00CB03D7" w:rsidRDefault="00504EE5" w:rsidP="00490E6D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04EE5">
              <w:rPr>
                <w:rFonts w:cs="Arial"/>
                <w:color w:val="00000A"/>
                <w:sz w:val="18"/>
                <w:szCs w:val="18"/>
              </w:rPr>
              <w:t>Brak spełnienia powyższego warunku lub brak informacji w tym zakresie we wniosku o dofinasowanie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4E6D" w14:textId="5D97C6DB" w:rsidR="00504EE5" w:rsidRPr="006F6814" w:rsidRDefault="0015239A" w:rsidP="00C0777F">
            <w:pPr>
              <w:spacing w:after="0" w:line="240" w:lineRule="auto"/>
              <w:jc w:val="center"/>
              <w:rPr>
                <w:rFonts w:cs="Arial"/>
                <w:color w:val="00000A"/>
                <w:sz w:val="18"/>
                <w:szCs w:val="18"/>
              </w:rPr>
            </w:pPr>
            <w:r w:rsidRPr="00C0777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7FBF" w14:textId="7B04CE18" w:rsidR="00504EE5" w:rsidRPr="00490E6D" w:rsidRDefault="00504EE5" w:rsidP="00490E6D">
            <w:pPr>
              <w:pStyle w:val="przypisy"/>
              <w:spacing w:after="0" w:line="70" w:lineRule="atLeast"/>
              <w:jc w:val="center"/>
              <w:rPr>
                <w:rFonts w:cs="Arial"/>
                <w:color w:val="00000A"/>
                <w:sz w:val="18"/>
                <w:szCs w:val="18"/>
              </w:rPr>
            </w:pPr>
            <w:r w:rsidRPr="00C97667">
              <w:t>NIE</w:t>
            </w:r>
          </w:p>
        </w:tc>
      </w:tr>
      <w:tr w:rsidR="005E3B1E" w:rsidRPr="00717F37" w14:paraId="20FD3235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921F" w14:textId="0AD5B0D1" w:rsidR="005E3B1E" w:rsidRPr="00717F37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3" w:name="_Hlk130452917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6</w:t>
            </w:r>
            <w:r w:rsidR="005E3B1E" w:rsidRPr="00E511F8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760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Projekty wyłonione w ramach konkurs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ów</w:t>
            </w: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architektoniczn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ych</w:t>
            </w: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, architektoniczno-urbanistyczn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ych</w:t>
            </w: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lub urbanistyczn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ych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F18" w14:textId="4AC74CCF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dotycz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ą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zagospodarowania przestrzeni (przestrzeni publicznych, projektów urbanistycznych dot. przekształcania lub rekultywacji terenu, terenów zielonych i parków) oraz obiektów kubaturowych (w tym zwłaszcza obiekty użyteczności publicznej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obiekty zabytkowe oraz te o funkcji rekreacyjnej, turystycznej, administracyjnej), które zostały wyłonione w konkursie architektonicznym, architektoniczno- urbanistycznym lub urbanistycznym.</w:t>
            </w:r>
          </w:p>
          <w:p w14:paraId="5A21E0CD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Konkurs architektoniczny nie musi dotyczyć całego przedsięwzięcia.</w:t>
            </w:r>
          </w:p>
          <w:p w14:paraId="60BA0471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Ocena przedsięwzięć realizowanych na podstawie konkursu architektonicznego, architektoniczno-urbanistycznego lub urbanistycznego będzie weryfikowana poprzez załączone do wniosku:</w:t>
            </w:r>
          </w:p>
          <w:p w14:paraId="5B495970" w14:textId="77777777" w:rsidR="005E3B1E" w:rsidRPr="00773A45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oświadczenie o realizacji inwestycji wyłonionej w konkursie architektonicznym, architektoniczno-urbanistycznym lub urbanistycznym,</w:t>
            </w:r>
          </w:p>
          <w:p w14:paraId="27F8F73B" w14:textId="77777777" w:rsidR="005E3B1E" w:rsidRPr="00773A45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dokumentacji wykonawczej przygotowanej w oparciu o projekty wyłonione w konkursie architektonicznym, architektoniczno-urbanistycznym lub urbanistycznym.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83C" w14:textId="48EF33D3" w:rsidR="005E3B1E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– Wnioskodawca posiada dokumentację wykonawczą </w:t>
            </w: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u</w:t>
            </w: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wyłonione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go</w:t>
            </w: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 konkursie architektonicznym, architektoniczno-urbanistycznym lub urbanistycznym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- 4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pkt;</w:t>
            </w:r>
          </w:p>
          <w:p w14:paraId="1EACE94F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Wnioskodawca oświadcza, że przygotuje dokumentację wykonawczą projektu wyłonionego w</w:t>
            </w: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konkursie architektonicznym, architektoniczno-urbanistycznym lub urbanistycznym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– 2 pkt;</w:t>
            </w:r>
          </w:p>
          <w:p w14:paraId="6A7F486C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0A5770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9355D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10E3D0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0070CA" w14:textId="77777777" w:rsidR="008409C8" w:rsidRPr="00717F37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Punktacja w ramach kryterium  nie podlega sumowaniu.</w:t>
            </w:r>
          </w:p>
          <w:p w14:paraId="27F3C123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4527B1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10922E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C4E998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4241DC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E5865E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6077C6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2ABC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689" w14:textId="53BAF6EB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D48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bookmarkEnd w:id="3"/>
      <w:tr w:rsidR="005E3B1E" w:rsidRPr="00717F37" w14:paraId="235833BA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E6EF" w14:textId="3C2C67C8" w:rsidR="005E3B1E" w:rsidRPr="00717F37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3D6" w14:textId="2B3321F3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Rozwiązania energooszczędne i z zakresu</w:t>
            </w:r>
            <w:r w:rsidRPr="004B20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obiegu cyrkularnego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8762" w14:textId="2A6B8329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przewidują zastosowanie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rozwiąza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ń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energooszczędn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zmniejszenie zapotrzebowania i zużycia energii, a przez to zmniejszenie ogólnych kosztów eksploatacji budynków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  <w:r w:rsidR="006F68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lub 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rozwiąza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ń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 zakresie obiegu cyrkularnego i zwiększając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odporność na skutki zmian klimatycznych, niskoemisyjnych, zasobooszczędnych i cyfrowych</w:t>
            </w:r>
          </w:p>
          <w:p w14:paraId="3F848EBF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B650E8D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EEC16E8" w14:textId="77777777" w:rsidR="005E3B1E" w:rsidRPr="001B170A" w:rsidRDefault="005E3B1E" w:rsidP="005E3B1E">
            <w:pPr>
              <w:spacing w:after="0" w:line="240" w:lineRule="auto"/>
              <w:jc w:val="both"/>
            </w:pPr>
            <w:r w:rsidRPr="006A66B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 *</w:t>
            </w:r>
            <w:r>
              <w:t xml:space="preserve"> </w:t>
            </w:r>
            <w:r>
              <w:tab/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9A65" w14:textId="77777777" w:rsidR="005E3B1E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A2B05E9" w14:textId="31519A82" w:rsidR="005E3B1E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zastosowanie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rozwiąza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ń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energooszczędn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lub 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rozwiąza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ń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 zakresie obiegu cyrkularnego i zwiększając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odporność na skutki zmian klimatycznych, niskoemisyjnych, zasobooszczędnych i cyfrowych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 pkt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;</w:t>
            </w:r>
          </w:p>
          <w:p w14:paraId="1F8E80BB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8ED4B8B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2ABC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  <w:r w:rsidRPr="00717F37" w:rsidDel="00612AB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386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EDB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6A4FFCFD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AB9" w14:textId="5EF83105" w:rsidR="005E3B1E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8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EDD" w14:textId="12222D35" w:rsidR="005E3B1E" w:rsidRPr="00717F37" w:rsidRDefault="00C22241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22241">
              <w:rPr>
                <w:rFonts w:ascii="Arial" w:hAnsi="Arial" w:cs="Arial"/>
                <w:b/>
                <w:bCs/>
                <w:sz w:val="18"/>
                <w:szCs w:val="18"/>
              </w:rPr>
              <w:t>Zgodność projektu z ideą inicjatywy Nowy Europejski Bauhaus (z ang. NEB)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19E5" w14:textId="228C5774" w:rsidR="005E3B1E" w:rsidRDefault="00036B9C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36B9C">
              <w:rPr>
                <w:rFonts w:ascii="Arial" w:hAnsi="Arial" w:cs="Arial"/>
                <w:sz w:val="18"/>
                <w:szCs w:val="18"/>
              </w:rPr>
              <w:t xml:space="preserve">Kryterium premiuje projekty, które przewidują rozwiązania uwzględniające zasady inicjatywy Nowy Europejski Bauhaus (z ang. New </w:t>
            </w:r>
            <w:proofErr w:type="spellStart"/>
            <w:r w:rsidRPr="00036B9C">
              <w:rPr>
                <w:rFonts w:ascii="Arial" w:hAnsi="Arial" w:cs="Arial"/>
                <w:sz w:val="18"/>
                <w:szCs w:val="18"/>
              </w:rPr>
              <w:t>European</w:t>
            </w:r>
            <w:proofErr w:type="spellEnd"/>
            <w:r w:rsidRPr="00036B9C">
              <w:rPr>
                <w:rFonts w:ascii="Arial" w:hAnsi="Arial" w:cs="Arial"/>
                <w:sz w:val="18"/>
                <w:szCs w:val="18"/>
              </w:rPr>
              <w:t xml:space="preserve"> Bauhaus, NEB). NEB jest horyzontalnym projektem ekologiczno-gospodarczo-kulturalnym, stanowiącym praktyczną realizację założeń Europejskiego Zielonego Ładu w przestrzeni mieszkalnej. NEB kieruje się trójkątem trzech podstawowych wartości, takich jak: </w:t>
            </w:r>
            <w:r w:rsidRPr="00036B9C">
              <w:rPr>
                <w:rFonts w:ascii="Arial" w:hAnsi="Arial" w:cs="Arial"/>
                <w:sz w:val="18"/>
                <w:szCs w:val="18"/>
              </w:rPr>
              <w:t xml:space="preserve"> zrównoważenie środowiskowe/balans środowiskowy, w tym m.in. wkomponowanie elementów przyrody w tkankę miejską, zbilansowanie stref zabudowy miejskiej dbałością o różnorodność biologiczną, </w:t>
            </w:r>
            <w:r w:rsidRPr="00036B9C">
              <w:rPr>
                <w:rFonts w:ascii="Arial" w:hAnsi="Arial" w:cs="Arial"/>
                <w:sz w:val="18"/>
                <w:szCs w:val="18"/>
              </w:rPr>
              <w:t xml:space="preserve"> estetyka - uwzględnianie - poza funkcjonalnością - również elementów kompozycji architektonicznej uwzględniającej harmonię, dbałość o jakość i styl przestrzeni - rozwiązania oparte o aspekty przyrodnicze, </w:t>
            </w:r>
            <w:r w:rsidRPr="00036B9C">
              <w:rPr>
                <w:rFonts w:ascii="Arial" w:hAnsi="Arial" w:cs="Arial"/>
                <w:sz w:val="18"/>
                <w:szCs w:val="18"/>
              </w:rPr>
              <w:t> włączenie społeczne - tworzenie przestrzeni publicznej zachowującej funkcje przyrodnicze z uwzględnieniem aspektu równości i dostępności.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73B4" w14:textId="3CE3D6F2" w:rsidR="00DB09A0" w:rsidRDefault="0018223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18223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rojekt uwzględnia zasady inicjatywy NEB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9A0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B09A0">
              <w:rPr>
                <w:rFonts w:ascii="Arial" w:hAnsi="Arial" w:cs="Arial"/>
                <w:sz w:val="18"/>
                <w:szCs w:val="18"/>
              </w:rPr>
              <w:t xml:space="preserve"> pkt,</w:t>
            </w:r>
          </w:p>
          <w:p w14:paraId="3CEC8C46" w14:textId="77777777" w:rsidR="00DB09A0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E0536B3" w14:textId="77777777" w:rsidR="00DB09A0" w:rsidRDefault="00DB09A0" w:rsidP="00DB09A0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2ABC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</w:p>
          <w:p w14:paraId="74D18C14" w14:textId="77777777" w:rsidR="00DB09A0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B7A31FD" w14:textId="77777777" w:rsidR="005E3B1E" w:rsidRDefault="005E3B1E" w:rsidP="0018223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DC7F5E" w14:textId="77777777" w:rsidR="005E3B1E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56D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0630D71A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050" w14:textId="69DED4CC" w:rsidR="005E3B1E" w:rsidDel="005663ED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DD8" w14:textId="2F1EF92F" w:rsidR="005E3B1E" w:rsidRPr="00717F37" w:rsidRDefault="005E3B1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70B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Wsparcie tymczasowego </w:t>
            </w:r>
            <w:r w:rsidR="006F6814" w:rsidRPr="006F6814">
              <w:rPr>
                <w:rFonts w:ascii="Arial" w:hAnsi="Arial" w:cs="Arial"/>
                <w:b/>
                <w:color w:val="000000"/>
                <w:sz w:val="18"/>
                <w:szCs w:val="18"/>
              </w:rPr>
              <w:t>zagospodarowania przestrzeni miejskich jako element procesu rewitalizacji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5475" w14:textId="36539E37" w:rsidR="005E3B1E" w:rsidRPr="00AF70B0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zakłada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ją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promowanie lub zastosowanie koncepcji tymczasowego wykorzystania w celu rewitalizacji</w:t>
            </w:r>
            <w:r w:rsidR="006F68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F6814" w:rsidRPr="006F68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jako elementu projektu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***</w:t>
            </w:r>
          </w:p>
          <w:p w14:paraId="30EB072A" w14:textId="77777777" w:rsidR="005E3B1E" w:rsidRPr="00AF70B0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37E9712" w14:textId="1848F446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*** Definicja:  „Tymczasowe wykorzystanie w celu rewitalizacji to praktyka zagospodarowania pustych lub niewykorzystanych przestrzeni miejskich przez ograniczony czas, często w drodze inicjatyw opartych na współpracy i kierowanych przez społeczność. Ma na celu rewitalizację i aktywizację tych przestrzeni, promowanie interakcji społecznych i tworzenie możliwości gospodarczych, przyczyniając się jednocześnie do ogólnej poprawy środowiska.”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6BF2" w14:textId="77777777" w:rsidR="005E3B1E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promowanie lub zastosowanie koncepcji tymczasowego wykorzystania w celu rewitalizacji miast – 1pkt</w:t>
            </w:r>
          </w:p>
          <w:p w14:paraId="5C181E05" w14:textId="77777777" w:rsidR="005E3B1E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444905E" w14:textId="77777777" w:rsidR="005E3B1E" w:rsidRPr="00717F37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24DC" w14:textId="77777777" w:rsidR="005E3B1E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0D65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24DC5AB7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A38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BCCAB8B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5DDCBFD" w14:textId="57975523" w:rsidR="005E3B1E" w:rsidRPr="001B170A" w:rsidRDefault="00504EE5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  <w:r w:rsidR="005E3B1E"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14:paraId="18E7703F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1C9D15F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71CAA2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6776745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DC1984E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FCEB29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FD6636E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3D23" w14:textId="524A562B" w:rsidR="005E3B1E" w:rsidRPr="001B170A" w:rsidRDefault="005E3B1E" w:rsidP="005E3B1E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Zachowanie i rozwój zielonej infrastruktury, w szczególności </w:t>
            </w:r>
            <w:r w:rsidR="00C22241">
              <w:rPr>
                <w:rFonts w:ascii="Arial" w:hAnsi="Arial" w:cs="Arial"/>
                <w:b/>
                <w:color w:val="000000"/>
                <w:sz w:val="18"/>
                <w:szCs w:val="18"/>
              </w:rPr>
              <w:t>związanej z ochroną drzew</w:t>
            </w:r>
          </w:p>
          <w:p w14:paraId="7083612C" w14:textId="77777777" w:rsidR="005E3B1E" w:rsidRPr="00AF70B0" w:rsidRDefault="005E3B1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BFC1" w14:textId="08D87E26" w:rsidR="005E3B1E" w:rsidRPr="00A72C3D" w:rsidRDefault="005E3B1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 </w:t>
            </w:r>
            <w:r w:rsidRPr="00A72C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promuj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ą</w:t>
            </w:r>
            <w:r w:rsidRPr="00A72C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zachowanie i rozwój zielonej infrastruktury w tym zakaz wycinania starodrzewia, usuwania zieleni w celu utwardzenia betonem placów i innych przestrzeni publicznych oraz na obszarach zabytkowych</w:t>
            </w:r>
            <w:r w:rsid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Ewentualna konieczność </w:t>
            </w:r>
            <w:r w:rsidR="00F04D2F"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wycinki </w:t>
            </w:r>
            <w:r w:rsid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zieleni, </w:t>
            </w:r>
            <w:r w:rsidR="00F04D2F"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powinna być szczegółow</w:t>
            </w:r>
            <w:r w:rsid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</w:t>
            </w:r>
            <w:r w:rsidR="00F04D2F"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uzasadni</w:t>
            </w:r>
            <w:r w:rsid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ona </w:t>
            </w:r>
            <w:r w:rsidR="00F04D2F"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 </w:t>
            </w:r>
            <w:r w:rsid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uwarunkowana </w:t>
            </w:r>
            <w:r w:rsidR="00F04D2F"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podjęci</w:t>
            </w:r>
            <w:r w:rsid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em adekwatnych </w:t>
            </w:r>
            <w:r w:rsidR="00F04D2F"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działań kompensacyjnych</w:t>
            </w:r>
            <w:r w:rsid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</w:p>
          <w:p w14:paraId="0B50492D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213F2C8" w14:textId="77777777" w:rsidR="005E3B1E" w:rsidRPr="00AF70B0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A66B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 *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954E" w14:textId="3B8AAB5A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zakłada zachowanie i rozwój zielonej infrastruktury – 5 pkt</w:t>
            </w:r>
          </w:p>
          <w:p w14:paraId="584DC972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B35FAD9" w14:textId="77777777" w:rsidR="005E3B1E" w:rsidRPr="00AF70B0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B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7E8" w14:textId="77777777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B170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B74A" w14:textId="77777777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B170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DD6415" w14:paraId="09C1BE50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73D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03D0F3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B73C02F" w14:textId="0BC89229" w:rsidR="005E3B1E" w:rsidRPr="005A603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A60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504EE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32A0B6F9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A983783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C967A41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3DCC509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77FD7AA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E817617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79C2853" w14:textId="77777777" w:rsidR="005E3B1E" w:rsidRPr="005A603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B512" w14:textId="77777777" w:rsidR="005E3B1E" w:rsidRPr="00A72C3D" w:rsidRDefault="005E3B1E" w:rsidP="005E3B1E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4" w:name="_Hlk151019586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Dochody gmin</w:t>
            </w:r>
          </w:p>
          <w:bookmarkEnd w:id="4"/>
          <w:p w14:paraId="6B0640DD" w14:textId="77777777" w:rsidR="005E3B1E" w:rsidRPr="00AF70B0" w:rsidRDefault="005E3B1E" w:rsidP="005E3B1E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4981" w14:textId="0BEB5F4B" w:rsidR="005E3B1E" w:rsidRDefault="005E3B1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są  </w:t>
            </w:r>
            <w:r w:rsidRPr="00662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zlokalizowane w gminach,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dla </w:t>
            </w:r>
            <w:r w:rsidRPr="00662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których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wartość </w:t>
            </w:r>
            <w:r w:rsidRPr="00662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wskaźnik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 G (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wskaźnika podstawowych dochodów podatkowych w przeliczeniu na jednego mieszkańca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) 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 2023 r. jest niższa od 3 211,77 PLN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Wartość ta została obliczona przez IZ FEM 2021-2027 na podstawie danych publikowanych przez Ministerstwo Finansów oraz Główny Urząd Statystyczny.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Dane dotyczące wskaźnika G dla poszczególnych gmin znajdują się na stronie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5A6036">
                <w:rPr>
                  <w:rStyle w:val="Hipercze"/>
                  <w:rFonts w:ascii="Arial" w:hAnsi="Arial" w:cs="Arial"/>
                  <w:bCs/>
                  <w:sz w:val="18"/>
                  <w:szCs w:val="18"/>
                </w:rPr>
                <w:t>https://www.gov.pl/web/finanse/wskazniki-dochodow-podatkowych-gmin-powiatow-i-wojewodztw-na-2023-r</w:t>
              </w:r>
            </w:hyperlink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3557D75F" w14:textId="77777777" w:rsidR="005E3B1E" w:rsidRPr="00AF70B0" w:rsidRDefault="005E3B1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A66B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 *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1482" w14:textId="77777777" w:rsidR="00D632A5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realizowany jest na terenie gminy,</w:t>
            </w:r>
          </w:p>
          <w:p w14:paraId="19956D29" w14:textId="3DCC35CB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której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wartość 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wskaźnik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 jest niższ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od </w:t>
            </w:r>
            <w:r w:rsidRPr="005A60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3 211,77 PLN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3 pkt</w:t>
            </w:r>
          </w:p>
          <w:p w14:paraId="14897EA3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9CBE44A" w14:textId="77777777" w:rsidR="005E3B1E" w:rsidRPr="005A603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A60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EA1D" w14:textId="1A51A218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1E7F" w14:textId="77777777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72C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1F473C" w:rsidRPr="00DD6415" w14:paraId="3BD920C3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B1B" w14:textId="0D4A762B" w:rsidR="001F473C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3EAD" w14:textId="05627109" w:rsidR="001F473C" w:rsidRPr="001F473C" w:rsidRDefault="001F473C" w:rsidP="001F473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Komplementarność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działań rewitalizacyjnych realizowanych w ramach </w:t>
            </w:r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projektu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</w:t>
            </w:r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przedsięwzięciami</w:t>
            </w:r>
          </w:p>
          <w:p w14:paraId="5E253F20" w14:textId="77777777" w:rsidR="001F473C" w:rsidRPr="001F473C" w:rsidRDefault="001F473C" w:rsidP="001F473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finansowanymi </w:t>
            </w:r>
          </w:p>
          <w:p w14:paraId="11E98D62" w14:textId="39C106BE" w:rsidR="001F473C" w:rsidRDefault="001F473C" w:rsidP="001F473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 ramach innych działań realizowanych w ramach EFRR oraz EFS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9F0" w14:textId="77777777" w:rsidR="001F473C" w:rsidRDefault="001F473C" w:rsidP="001F473C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ryterium promuje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projekty, które zakładają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komplementarność działań rewitalizacyjnych realizowanych w ramach projektu z przedsięwzięciami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finansowanymi w ramach innych działań realizowanych w ramach EFRR oraz EFS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47E1A285" w14:textId="614CBE38" w:rsidR="001F473C" w:rsidRPr="005E3B1E" w:rsidRDefault="001F473C" w:rsidP="001F473C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Komplementarność badana będzie zarówno w odniesieniu do perspektywy 20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-202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jak i 20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-20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4998" w14:textId="77777777" w:rsidR="001F473C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zakłada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komplementarność działań rewitalizacyjnych realizowanych w ramach projektu z przedsięwzięciami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finansowanymi w ramach innych działań realizowanych w ramach EFRR oraz EFS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– 1 pkt.</w:t>
            </w:r>
          </w:p>
          <w:p w14:paraId="3624B1D1" w14:textId="7BBAB860" w:rsidR="001F473C" w:rsidRPr="00662197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47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F2D" w14:textId="24DBFFFF" w:rsidR="001F473C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D96E" w14:textId="598ADD65" w:rsidR="001F473C" w:rsidRPr="00A72C3D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1F473C" w:rsidRPr="00DD6415" w14:paraId="71CC1CFF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08FB" w14:textId="6DA2AFDF" w:rsidR="001F473C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88E8" w14:textId="14494492" w:rsidR="001F473C" w:rsidRPr="001F473C" w:rsidRDefault="004306D4" w:rsidP="00DB09A0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06D4">
              <w:rPr>
                <w:rFonts w:ascii="Arial" w:hAnsi="Arial" w:cs="Arial"/>
                <w:b/>
                <w:color w:val="000000"/>
                <w:sz w:val="18"/>
                <w:szCs w:val="18"/>
              </w:rPr>
              <w:t>Bezpośredni efekt społeczny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B49E" w14:textId="4990DD0E" w:rsidR="004306D4" w:rsidRPr="004306D4" w:rsidRDefault="004306D4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Kryterium promuje projekty infrastrukturalne komplementarn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 projektami społecznymi. </w:t>
            </w:r>
          </w:p>
          <w:p w14:paraId="5BDF12B5" w14:textId="746C3910" w:rsidR="00A32662" w:rsidRDefault="004306D4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Realizacja, projektów społecznych powiązanych z inwestycją wspieraną ze środków Działania 9.1 lub 9.2 FEM 2021-2027 musi trwać min. 1 rok w ciągu </w:t>
            </w:r>
            <w:r w:rsidR="00BE02F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lat od rzeczowego zakończenia projektu</w:t>
            </w:r>
            <w:r w:rsidR="00BE02F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(okres trwałości projektu)</w:t>
            </w: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W uzasadnionych przypadkach, popartych analizą zapotrzebowania (np. ewaluacji on-</w:t>
            </w:r>
            <w:proofErr w:type="spellStart"/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going</w:t>
            </w:r>
            <w:proofErr w:type="spellEnd"/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mid</w:t>
            </w:r>
            <w:proofErr w:type="spellEnd"/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-term/bieżącej) dopuszcza się możliwość dostosowania zakresu projektu społecznego do bieżących potrzeb.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1517" w14:textId="40F5C651" w:rsidR="001F473C" w:rsidRDefault="004306D4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306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wykazał komplementarność i powiązanie projektu z działaniami współfinasowanymi ze środków EFS+ lub równoważnymi finansowanymi z innych źródeł, realizowanymi przez niego lub inne podmioty zaangażowane w projekt na rzecz poprawy jakości życia lokalnej społeczności </w:t>
            </w:r>
            <w:r w:rsidR="00ED37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1 pkt. </w:t>
            </w:r>
          </w:p>
          <w:p w14:paraId="364E49F9" w14:textId="77777777" w:rsidR="00ED37A6" w:rsidRDefault="00ED37A6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7DD8F36" w14:textId="086FFBC1" w:rsidR="00ED37A6" w:rsidRDefault="00ED37A6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47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BBD9" w14:textId="2009B6D7" w:rsidR="001F473C" w:rsidRDefault="00ED37A6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3446" w14:textId="18AFF681" w:rsidR="001F473C" w:rsidRPr="00A72C3D" w:rsidRDefault="00ED37A6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4CCB0953" w14:textId="77777777" w:rsidTr="00504EE5">
        <w:trPr>
          <w:trHeight w:val="1599"/>
          <w:tblHeader/>
        </w:trPr>
        <w:tc>
          <w:tcPr>
            <w:tcW w:w="1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42C" w14:textId="77777777" w:rsidR="005E3B1E" w:rsidRPr="00633803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C645" w14:textId="5AEBFA0F" w:rsidR="005E3B1E" w:rsidRPr="001B170A" w:rsidRDefault="0015239A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</w:tr>
    </w:tbl>
    <w:p w14:paraId="2431A133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1F01F885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9A7DBBD" w14:textId="77777777" w:rsidR="005663ED" w:rsidRPr="00396B3C" w:rsidRDefault="005663ED" w:rsidP="00396B3C">
      <w:pPr>
        <w:pStyle w:val="Akapitzlist"/>
        <w:spacing w:after="0"/>
        <w:ind w:left="-142" w:firstLine="284"/>
        <w:jc w:val="both"/>
        <w:rPr>
          <w:rFonts w:ascii="Arial" w:hAnsi="Arial" w:cs="Arial"/>
          <w:sz w:val="16"/>
          <w:szCs w:val="16"/>
          <w:u w:val="single"/>
        </w:rPr>
      </w:pPr>
      <w:bookmarkStart w:id="5" w:name="_Hlk150946841"/>
      <w:r w:rsidRPr="00396B3C">
        <w:rPr>
          <w:rFonts w:ascii="Arial" w:hAnsi="Arial" w:cs="Arial"/>
          <w:sz w:val="20"/>
          <w:szCs w:val="20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 Kryteria rozstrzygające będą stosowane w następującej kolejnośc</w:t>
      </w:r>
      <w:r w:rsidR="001B170A" w:rsidRPr="00396B3C">
        <w:rPr>
          <w:rFonts w:ascii="Arial" w:hAnsi="Arial" w:cs="Arial"/>
          <w:sz w:val="20"/>
          <w:szCs w:val="20"/>
        </w:rPr>
        <w:t>i:</w:t>
      </w:r>
    </w:p>
    <w:p w14:paraId="27A597D6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16BEACBC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BF5606B" w14:textId="77777777" w:rsidR="005663ED" w:rsidRPr="00396B3C" w:rsidRDefault="00396B3C" w:rsidP="00396B3C">
      <w:pPr>
        <w:pStyle w:val="Akapitzlist"/>
        <w:spacing w:after="0"/>
        <w:ind w:left="-142"/>
        <w:jc w:val="both"/>
        <w:rPr>
          <w:rFonts w:ascii="Arial" w:hAnsi="Arial" w:cs="Arial"/>
          <w:sz w:val="20"/>
          <w:szCs w:val="20"/>
          <w:u w:val="single"/>
        </w:rPr>
      </w:pPr>
      <w:r w:rsidRPr="00396B3C">
        <w:rPr>
          <w:rFonts w:ascii="Arial" w:hAnsi="Arial" w:cs="Arial"/>
          <w:b/>
          <w:color w:val="000000"/>
          <w:sz w:val="20"/>
          <w:szCs w:val="20"/>
        </w:rPr>
        <w:t>1. Zachowanie i rozwój zielonej infrastruktury, w szczególności na ochronę drzew</w:t>
      </w:r>
    </w:p>
    <w:p w14:paraId="7F80C494" w14:textId="77777777" w:rsidR="00396B3C" w:rsidRDefault="00396B3C" w:rsidP="00396B3C">
      <w:pPr>
        <w:pStyle w:val="Akapitzlist"/>
        <w:spacing w:after="0"/>
        <w:ind w:left="-14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96B3C">
        <w:rPr>
          <w:rFonts w:ascii="Arial" w:hAnsi="Arial" w:cs="Arial"/>
          <w:b/>
          <w:color w:val="000000"/>
          <w:sz w:val="20"/>
          <w:szCs w:val="20"/>
        </w:rPr>
        <w:t>2. Rozwiązania energooszczędne i z zakresu obiegu cyrkularnego</w:t>
      </w:r>
    </w:p>
    <w:p w14:paraId="0A026E8F" w14:textId="77777777" w:rsidR="002C2CDF" w:rsidRPr="00396B3C" w:rsidRDefault="002C2CDF" w:rsidP="00396B3C">
      <w:pPr>
        <w:pStyle w:val="Akapitzlist"/>
        <w:spacing w:after="0"/>
        <w:ind w:left="-142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3. </w:t>
      </w:r>
      <w:r w:rsidRPr="002C2CDF">
        <w:rPr>
          <w:rFonts w:ascii="Arial" w:hAnsi="Arial" w:cs="Arial"/>
          <w:b/>
          <w:color w:val="000000"/>
          <w:sz w:val="20"/>
          <w:szCs w:val="20"/>
        </w:rPr>
        <w:t>Dochody gmin</w:t>
      </w:r>
    </w:p>
    <w:bookmarkEnd w:id="0"/>
    <w:bookmarkEnd w:id="1"/>
    <w:bookmarkEnd w:id="5"/>
    <w:p w14:paraId="1A58231E" w14:textId="77777777" w:rsidR="00175BD4" w:rsidRPr="00036C42" w:rsidRDefault="00175BD4" w:rsidP="006A66BD">
      <w:pPr>
        <w:pStyle w:val="Akapitzlist"/>
        <w:spacing w:after="0"/>
        <w:ind w:left="-142" w:hanging="284"/>
        <w:jc w:val="both"/>
        <w:rPr>
          <w:rFonts w:ascii="Arial" w:hAnsi="Arial" w:cs="Arial"/>
        </w:rPr>
      </w:pPr>
    </w:p>
    <w:sectPr w:rsidR="00175BD4" w:rsidRPr="00036C42" w:rsidSect="006577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9238">
    <w:abstractNumId w:val="1"/>
  </w:num>
  <w:num w:numId="2" w16cid:durableId="255292635">
    <w:abstractNumId w:val="2"/>
  </w:num>
  <w:num w:numId="3" w16cid:durableId="159983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150CD"/>
    <w:rsid w:val="00036B9C"/>
    <w:rsid w:val="00036C42"/>
    <w:rsid w:val="00073514"/>
    <w:rsid w:val="00087333"/>
    <w:rsid w:val="0009047E"/>
    <w:rsid w:val="000C14F7"/>
    <w:rsid w:val="000C1E4E"/>
    <w:rsid w:val="000E119C"/>
    <w:rsid w:val="000F11CA"/>
    <w:rsid w:val="00144015"/>
    <w:rsid w:val="0015239A"/>
    <w:rsid w:val="00175BD4"/>
    <w:rsid w:val="0018223E"/>
    <w:rsid w:val="0019282A"/>
    <w:rsid w:val="00192B83"/>
    <w:rsid w:val="001B170A"/>
    <w:rsid w:val="001E2A8F"/>
    <w:rsid w:val="001F473C"/>
    <w:rsid w:val="002B7130"/>
    <w:rsid w:val="002C2CDF"/>
    <w:rsid w:val="002C5FA2"/>
    <w:rsid w:val="002F3801"/>
    <w:rsid w:val="00306339"/>
    <w:rsid w:val="003413F9"/>
    <w:rsid w:val="00356ED9"/>
    <w:rsid w:val="003604CE"/>
    <w:rsid w:val="00371150"/>
    <w:rsid w:val="00382E82"/>
    <w:rsid w:val="00396B3C"/>
    <w:rsid w:val="003E7B4D"/>
    <w:rsid w:val="004306D4"/>
    <w:rsid w:val="00486AF0"/>
    <w:rsid w:val="00490E6D"/>
    <w:rsid w:val="004A69E3"/>
    <w:rsid w:val="004B204A"/>
    <w:rsid w:val="004D43DF"/>
    <w:rsid w:val="00502D7B"/>
    <w:rsid w:val="0050343D"/>
    <w:rsid w:val="00504EE5"/>
    <w:rsid w:val="00506533"/>
    <w:rsid w:val="0051317E"/>
    <w:rsid w:val="00521E8A"/>
    <w:rsid w:val="005316B4"/>
    <w:rsid w:val="00562086"/>
    <w:rsid w:val="005663ED"/>
    <w:rsid w:val="00580105"/>
    <w:rsid w:val="00594195"/>
    <w:rsid w:val="005A6036"/>
    <w:rsid w:val="005C1EA1"/>
    <w:rsid w:val="005C6864"/>
    <w:rsid w:val="005E3B1E"/>
    <w:rsid w:val="00612ABC"/>
    <w:rsid w:val="00633803"/>
    <w:rsid w:val="00641714"/>
    <w:rsid w:val="006577CD"/>
    <w:rsid w:val="006718AA"/>
    <w:rsid w:val="006A66BD"/>
    <w:rsid w:val="006F6814"/>
    <w:rsid w:val="00717F37"/>
    <w:rsid w:val="0074284C"/>
    <w:rsid w:val="00773A45"/>
    <w:rsid w:val="007C5B4C"/>
    <w:rsid w:val="007D5279"/>
    <w:rsid w:val="00804AE0"/>
    <w:rsid w:val="0082201D"/>
    <w:rsid w:val="00834415"/>
    <w:rsid w:val="008409C8"/>
    <w:rsid w:val="0086645D"/>
    <w:rsid w:val="00877BE5"/>
    <w:rsid w:val="0089181E"/>
    <w:rsid w:val="00934096"/>
    <w:rsid w:val="0099414A"/>
    <w:rsid w:val="009B33F8"/>
    <w:rsid w:val="009B42AA"/>
    <w:rsid w:val="00A00571"/>
    <w:rsid w:val="00A042F5"/>
    <w:rsid w:val="00A13FB6"/>
    <w:rsid w:val="00A32662"/>
    <w:rsid w:val="00A51149"/>
    <w:rsid w:val="00A77484"/>
    <w:rsid w:val="00A84E67"/>
    <w:rsid w:val="00A931E9"/>
    <w:rsid w:val="00AA6129"/>
    <w:rsid w:val="00AD4226"/>
    <w:rsid w:val="00B17232"/>
    <w:rsid w:val="00B36C87"/>
    <w:rsid w:val="00B42B48"/>
    <w:rsid w:val="00B50A25"/>
    <w:rsid w:val="00B55DD6"/>
    <w:rsid w:val="00B6151F"/>
    <w:rsid w:val="00BD127C"/>
    <w:rsid w:val="00BE02FA"/>
    <w:rsid w:val="00C0777F"/>
    <w:rsid w:val="00C21E5E"/>
    <w:rsid w:val="00C22241"/>
    <w:rsid w:val="00C54D0B"/>
    <w:rsid w:val="00C83A96"/>
    <w:rsid w:val="00CA26F4"/>
    <w:rsid w:val="00CA2BD0"/>
    <w:rsid w:val="00CC7C9E"/>
    <w:rsid w:val="00CD7A11"/>
    <w:rsid w:val="00D46416"/>
    <w:rsid w:val="00D632A5"/>
    <w:rsid w:val="00D66AE5"/>
    <w:rsid w:val="00D9067C"/>
    <w:rsid w:val="00DA45F1"/>
    <w:rsid w:val="00DB09A0"/>
    <w:rsid w:val="00DD1903"/>
    <w:rsid w:val="00DD6415"/>
    <w:rsid w:val="00DF3C78"/>
    <w:rsid w:val="00E10956"/>
    <w:rsid w:val="00E147B4"/>
    <w:rsid w:val="00E367E5"/>
    <w:rsid w:val="00E43BBA"/>
    <w:rsid w:val="00E45423"/>
    <w:rsid w:val="00E511F8"/>
    <w:rsid w:val="00E5385B"/>
    <w:rsid w:val="00E73135"/>
    <w:rsid w:val="00E83D1D"/>
    <w:rsid w:val="00EA3682"/>
    <w:rsid w:val="00ED37A6"/>
    <w:rsid w:val="00ED41AA"/>
    <w:rsid w:val="00F04D2F"/>
    <w:rsid w:val="00F222BE"/>
    <w:rsid w:val="00F3796D"/>
    <w:rsid w:val="00FB0479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finanse/wskazniki-dochodow-podatkowych-gmin-powiatow-i-wojewodztw-na-2023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fundusze-regiony/krajowa-strategia-rozwoju-regionalne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1753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Wierzbicki Tomasz</cp:lastModifiedBy>
  <cp:revision>4</cp:revision>
  <cp:lastPrinted>2023-11-17T08:04:00Z</cp:lastPrinted>
  <dcterms:created xsi:type="dcterms:W3CDTF">2023-12-08T13:07:00Z</dcterms:created>
  <dcterms:modified xsi:type="dcterms:W3CDTF">2023-12-14T09:36:00Z</dcterms:modified>
</cp:coreProperties>
</file>