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7C58" w14:textId="77777777" w:rsidR="007C5B4C" w:rsidRPr="00717F37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A87314E" w14:textId="7777777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9.1 Rewitalizacja miast</w:t>
      </w:r>
    </w:p>
    <w:p w14:paraId="0F7B6869" w14:textId="7777777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Typ projektów – Rewitalizacja obszarów zdegradowanych</w:t>
      </w:r>
    </w:p>
    <w:p w14:paraId="0C614D47" w14:textId="77777777" w:rsidR="007C5B4C" w:rsidRPr="00717F37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717F37">
        <w:rPr>
          <w:rFonts w:cs="Arial"/>
          <w:color w:val="000000"/>
          <w:sz w:val="18"/>
          <w:szCs w:val="18"/>
          <w:lang w:val="pl-PL"/>
        </w:rPr>
        <w:t>1.</w:t>
      </w:r>
      <w:r w:rsidRPr="00717F37">
        <w:rPr>
          <w:rFonts w:cs="Arial"/>
          <w:color w:val="000000"/>
          <w:sz w:val="18"/>
          <w:szCs w:val="18"/>
        </w:rPr>
        <w:t xml:space="preserve"> KRYTERIA </w:t>
      </w:r>
      <w:r w:rsidRPr="00717F37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717F37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717F37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63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2D3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5B7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2021-2027, projekt musi być realizowany na obszarach miejskich.</w:t>
            </w:r>
          </w:p>
          <w:p w14:paraId="7C0447E2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Za obszary miejskie należy przyjąć gminy miejskie i gminy miejsko-wiejskie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717F37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8C9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CEF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48391F61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77777777" w:rsidR="007C5B4C" w:rsidRDefault="007C5B4C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717F37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50428718"/>
      <w:bookmarkStart w:id="1" w:name="_Hlk150428891"/>
      <w:r w:rsidRPr="00717F37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717F37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77777777" w:rsidR="00E511F8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Lp</w:t>
            </w:r>
          </w:p>
          <w:p w14:paraId="1E764197" w14:textId="77777777" w:rsidR="00E511F8" w:rsidRPr="00717F37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717F37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717F37" w14:paraId="4B462BCC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" w:name="_Hlk128997210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5CF7120" w:rsidR="006577CD" w:rsidRPr="00717F37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są</w:t>
            </w:r>
            <w:r w:rsidR="0019282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obowiązującym (</w:t>
            </w:r>
            <w:r w:rsidR="00D632A5" w:rsidRPr="00D632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 właściwym miejscowo programem rewitalizacji.</w:t>
            </w:r>
          </w:p>
          <w:p w14:paraId="6793A82D" w14:textId="08508C15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 rewitalizacji musi znajdować się w Wykazie 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A7BEAF" w14:textId="1D55AD3D" w:rsidR="006577CD" w:rsidRPr="00717F37" w:rsidRDefault="004A69E3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8 pkt.</w:t>
            </w:r>
          </w:p>
          <w:p w14:paraId="0C4B0E7A" w14:textId="77777777" w:rsidR="003604CE" w:rsidRDefault="003604CE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71C10" w14:textId="77777777" w:rsidR="003604CE" w:rsidRPr="00717F37" w:rsidRDefault="008409C8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717F37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D11" w14:textId="77777777" w:rsidR="006577CD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  <w:p w14:paraId="6B62E05C" w14:textId="77777777" w:rsidR="00B55DD6" w:rsidRPr="00717F37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bookmarkEnd w:id="2"/>
      <w:tr w:rsidR="005E3B1E" w:rsidRPr="00717F37" w14:paraId="49DDD196" w14:textId="77777777" w:rsidTr="0019282A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</w:p>
        </w:tc>
        <w:tc>
          <w:tcPr>
            <w:tcW w:w="4527" w:type="dxa"/>
          </w:tcPr>
          <w:p w14:paraId="4D96219B" w14:textId="40C06B2C" w:rsidR="005E3B1E" w:rsidRPr="005E3B1E" w:rsidRDefault="00D632A5" w:rsidP="00F222B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 o wysokim stopniu przygotowania do realizacji, </w:t>
            </w:r>
          </w:p>
        </w:tc>
        <w:tc>
          <w:tcPr>
            <w:tcW w:w="4079" w:type="dxa"/>
          </w:tcPr>
          <w:p w14:paraId="13941007" w14:textId="77777777" w:rsidR="005E3B1E" w:rsidRPr="00F222BE" w:rsidRDefault="005E3B1E" w:rsidP="005E3B1E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Wnioskodawca posiada wszystkie wymagane prawem polskim ostateczne decyzje administracyjne, pozwalające na realizację całości inwestycji lub realizacja inwestycji nie wymaga uzyskania ww. decyzji) – 2 pkt;</w:t>
            </w:r>
          </w:p>
          <w:p w14:paraId="3237926B" w14:textId="77777777" w:rsidR="005E3B1E" w:rsidRPr="00F222BE" w:rsidRDefault="005E3B1E" w:rsidP="005E3B1E">
            <w:pPr>
              <w:pStyle w:val="Akapitzlist"/>
              <w:spacing w:after="0" w:line="240" w:lineRule="auto"/>
              <w:ind w:left="133"/>
              <w:rPr>
                <w:rFonts w:ascii="Arial" w:hAnsi="Arial"/>
                <w:color w:val="000000"/>
                <w:sz w:val="18"/>
              </w:rPr>
            </w:pPr>
          </w:p>
          <w:p w14:paraId="18F8DD5A" w14:textId="77777777" w:rsidR="005E3B1E" w:rsidRPr="005E3B1E" w:rsidDel="004A69E3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shd w:val="clear" w:color="auto" w:fill="auto"/>
          </w:tcPr>
          <w:p w14:paraId="1E508E4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14:paraId="136FFA30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52C3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5E3B1E" w:rsidRPr="00717F37" w14:paraId="556B9EC6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BE52A3" w14:textId="2613DB13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752DAD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11F8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66265B" w14:textId="01D63DCB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B1E">
              <w:rPr>
                <w:rFonts w:ascii="Arial" w:hAnsi="Arial" w:cs="Arial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sz w:val="18"/>
                <w:szCs w:val="18"/>
              </w:rPr>
              <w:t xml:space="preserve">są </w:t>
            </w:r>
            <w:r w:rsidRPr="00717F37">
              <w:rPr>
                <w:rFonts w:ascii="Arial" w:hAnsi="Arial" w:cs="Arial"/>
                <w:sz w:val="18"/>
                <w:szCs w:val="18"/>
              </w:rPr>
              <w:t>realizowan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717F37">
              <w:rPr>
                <w:rFonts w:ascii="Arial" w:hAnsi="Arial" w:cs="Arial"/>
                <w:sz w:val="18"/>
                <w:szCs w:val="18"/>
              </w:rPr>
              <w:t>w ramach M</w:t>
            </w:r>
            <w:r>
              <w:rPr>
                <w:rFonts w:ascii="Arial" w:hAnsi="Arial" w:cs="Arial"/>
                <w:sz w:val="18"/>
                <w:szCs w:val="18"/>
              </w:rPr>
              <w:t xml:space="preserve">azowieckich </w:t>
            </w:r>
            <w:r w:rsidRPr="00717F3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trukturalnych </w:t>
            </w:r>
            <w:r w:rsidRPr="00717F3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nwestycji </w:t>
            </w:r>
            <w:r w:rsidRPr="00717F3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erytorialnych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D632A5">
              <w:rPr>
                <w:rFonts w:ascii="Arial" w:hAnsi="Arial" w:cs="Arial"/>
                <w:sz w:val="18"/>
                <w:szCs w:val="18"/>
              </w:rPr>
              <w:t xml:space="preserve">sprawdza </w:t>
            </w:r>
            <w:r w:rsidRPr="00717F37">
              <w:rPr>
                <w:rFonts w:ascii="Arial" w:hAnsi="Arial" w:cs="Arial"/>
                <w:sz w:val="18"/>
                <w:szCs w:val="18"/>
              </w:rPr>
              <w:t>czy wynika z przyjętej właściwej strategii rozwoju ponadlokalnego lub strategii terytorialnej, pozytywnie zaopiniowanej przez I</w:t>
            </w:r>
            <w:r>
              <w:rPr>
                <w:rFonts w:ascii="Arial" w:hAnsi="Arial" w:cs="Arial"/>
                <w:sz w:val="18"/>
                <w:szCs w:val="18"/>
              </w:rPr>
              <w:t xml:space="preserve">nstytucję </w:t>
            </w:r>
            <w:r w:rsidRPr="00717F37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arządzającą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 </w:t>
            </w:r>
          </w:p>
          <w:p w14:paraId="1CDA491A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332E54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53C16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DD4E" w14:textId="77777777" w:rsidR="005E3B1E" w:rsidRPr="00717F37" w:rsidDel="00CB03D7" w:rsidRDefault="005E3B1E" w:rsidP="005E3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5CAD7C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785812" w14:textId="39D76F64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7F37">
              <w:rPr>
                <w:rFonts w:ascii="Arial" w:hAnsi="Arial" w:cs="Arial"/>
                <w:sz w:val="18"/>
                <w:szCs w:val="18"/>
              </w:rPr>
              <w:t>rojekt wynik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z właściwej strategii rozwoju ponadlokalnego/strategii terytorialnej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B1DED7C" w14:textId="18D93289" w:rsidR="005E3B1E" w:rsidRPr="00F222BE" w:rsidRDefault="005E3B1E" w:rsidP="00F222BE">
            <w:pPr>
              <w:spacing w:after="0"/>
              <w:rPr>
                <w:rFonts w:ascii="Arial" w:hAnsi="Arial"/>
                <w:sz w:val="18"/>
              </w:rPr>
            </w:pPr>
            <w:r w:rsidRPr="00F222BE">
              <w:rPr>
                <w:rFonts w:ascii="Arial" w:hAnsi="Arial"/>
                <w:sz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717F37" w:rsidDel="00CB03D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090BBA" w14:textId="29DE827B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EE6ECDF" w14:textId="77777777" w:rsidTr="00504EE5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11F8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Obszar realizacji 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5CFA87B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B1E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realizowane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na obszarze strategicznej interwencji (OSI) wyznaczonym w Krajowej Strategii Rozwoju Regionalnego (KSRR) i wynikającym ze Strategii Rozwoju Województwa Mazowieckiego 2030+ </w:t>
            </w:r>
          </w:p>
          <w:p w14:paraId="1E505945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17F37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 1 i 2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do </w:t>
            </w:r>
            <w:r w:rsidRPr="00717F37">
              <w:rPr>
                <w:rFonts w:ascii="Arial" w:hAnsi="Arial" w:cs="Arial"/>
                <w:color w:val="00000A"/>
                <w:sz w:val="18"/>
                <w:szCs w:val="18"/>
              </w:rPr>
              <w:t xml:space="preserve">KSRR) </w:t>
            </w:r>
          </w:p>
          <w:p w14:paraId="0B7D7CB1" w14:textId="77777777" w:rsidR="005E3B1E" w:rsidRPr="00717F37" w:rsidDel="00CB03D7" w:rsidRDefault="00000000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6" w:history="1">
              <w:r w:rsidR="005E3B1E" w:rsidRPr="009A4224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https://www.gov.pl/web/fundusze-regiony/krajowa-strategia-rozwoju-regionalnego</w:t>
              </w:r>
            </w:hyperlink>
            <w:r w:rsidR="005E3B1E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DC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Projekt :</w:t>
            </w:r>
          </w:p>
          <w:p w14:paraId="7B82177A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</w:t>
            </w:r>
            <w:r>
              <w:rPr>
                <w:rFonts w:cs="Arial"/>
                <w:color w:val="00000A"/>
                <w:sz w:val="18"/>
                <w:szCs w:val="18"/>
              </w:rPr>
              <w:t>–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2 pkt </w:t>
            </w:r>
          </w:p>
          <w:p w14:paraId="48CB9031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• realizowany będzie na terenie średniego miasta zagrożonego utratą funkcji społeczno- gospodarczych (załącznik nr 2 KSRR) – 2 pkt.</w:t>
            </w:r>
          </w:p>
          <w:p w14:paraId="44677ECB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 nie podlega sumowaniu.</w:t>
            </w:r>
          </w:p>
          <w:p w14:paraId="04B7B2CC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1652FC1A" w14:textId="77777777" w:rsidR="008409C8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89E2992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we wniosku o dofinansowanie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– 0 pkt.</w:t>
            </w:r>
          </w:p>
          <w:p w14:paraId="36AD7B64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77777777" w:rsidR="005E3B1E" w:rsidRPr="00717F37" w:rsidDel="00CB03D7" w:rsidRDefault="005E3B1E" w:rsidP="006F6814">
            <w:pPr>
              <w:pStyle w:val="przypisy"/>
              <w:spacing w:after="0" w:line="7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04EE5" w:rsidRPr="00504EE5" w14:paraId="66397530" w14:textId="77777777" w:rsidTr="0019282A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FF" w14:textId="123152F9" w:rsidR="00504EE5" w:rsidRPr="006F6814" w:rsidRDefault="00504EE5" w:rsidP="0019282A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>
              <w:rPr>
                <w:rFonts w:cs="Arial"/>
                <w:color w:val="00000A"/>
                <w:sz w:val="18"/>
                <w:szCs w:val="18"/>
              </w:rPr>
              <w:t>5</w:t>
            </w:r>
            <w:r w:rsidRPr="0019282A">
              <w:rPr>
                <w:rFonts w:cs="Arial"/>
                <w:color w:val="00000A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450" w14:textId="0948CACA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490E6D">
              <w:rPr>
                <w:rFonts w:cs="Arial"/>
                <w:color w:val="00000A"/>
                <w:sz w:val="18"/>
                <w:szCs w:val="18"/>
              </w:rPr>
              <w:t>Partnerstwo w ramach Centrum Wsparcia Doradczego (CWD)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163" w14:textId="069C4253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490E6D">
              <w:rPr>
                <w:rFonts w:cs="Arial"/>
                <w:color w:val="00000A"/>
                <w:sz w:val="18"/>
                <w:szCs w:val="18"/>
              </w:rPr>
              <w:t>Kryterium premiuje projekty, które wynikają z przyjętej właściwej strategii terytorialnej partnerstwa utworzonego w ramach CWD.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08F" w14:textId="54ED762A" w:rsidR="00504EE5" w:rsidRPr="00504EE5" w:rsidRDefault="00504EE5" w:rsidP="00504EE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Projekt wynika z właściwej strategii terytorialnej partnerstwa utworzonego w ramach CWD – </w:t>
            </w:r>
            <w:r w:rsidR="006C0186">
              <w:rPr>
                <w:rFonts w:cs="Arial"/>
                <w:color w:val="00000A"/>
                <w:sz w:val="18"/>
                <w:szCs w:val="18"/>
              </w:rPr>
              <w:t>2</w:t>
            </w: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 pkt.</w:t>
            </w:r>
          </w:p>
          <w:p w14:paraId="07BE53E4" w14:textId="77777777" w:rsidR="00504EE5" w:rsidRPr="00504EE5" w:rsidRDefault="00504EE5" w:rsidP="00504EE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665205D" w14:textId="30DA1A38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we wniosku o dofinasowanie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E6D" w14:textId="527CD775" w:rsidR="00504EE5" w:rsidRPr="006F6814" w:rsidRDefault="006C0186" w:rsidP="00490E6D">
            <w:pPr>
              <w:pStyle w:val="przypisy"/>
              <w:spacing w:after="0" w:line="70" w:lineRule="atLeast"/>
              <w:jc w:val="center"/>
              <w:rPr>
                <w:rFonts w:cs="Arial"/>
                <w:color w:val="00000A"/>
                <w:sz w:val="18"/>
                <w:szCs w:val="18"/>
              </w:rPr>
            </w:pPr>
            <w:r>
              <w:rPr>
                <w:rFonts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FBF" w14:textId="7B04CE18" w:rsidR="00504EE5" w:rsidRPr="00490E6D" w:rsidRDefault="00504EE5" w:rsidP="00490E6D">
            <w:pPr>
              <w:pStyle w:val="przypisy"/>
              <w:spacing w:after="0" w:line="70" w:lineRule="atLeast"/>
              <w:jc w:val="center"/>
              <w:rPr>
                <w:rFonts w:cs="Arial"/>
                <w:color w:val="00000A"/>
                <w:sz w:val="18"/>
                <w:szCs w:val="18"/>
              </w:rPr>
            </w:pPr>
            <w:r w:rsidRPr="00C97667">
              <w:t>NIE</w:t>
            </w:r>
          </w:p>
        </w:tc>
      </w:tr>
      <w:tr w:rsidR="005E3B1E" w:rsidRPr="00717F37" w14:paraId="20FD323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21F" w14:textId="0AD5B0D1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" w:name="_Hlk130452917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6</w:t>
            </w:r>
            <w:r w:rsidR="005E3B1E" w:rsidRPr="00E511F8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architektoniczn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, architektoniczno-urbanistyczn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 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4AC74CCF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dotycz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zagospodarowania przestrzeni (przestrzeni publicznych, projektów urbanistycznych dot. przekształcania lub rekultywacji terenu, terenów zielonych i parków) oraz obiektów kubaturowych (w tym zwłaszcza obiekty użyteczności publicznej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obiekty zabytkowe oraz te o funkcji rekreacyjnej, turystycznej, administracyjnej), które zostały wyłonione w konkursie architektonicznym, architektoniczno- urbanistycznym lub urbanistycznym.</w:t>
            </w:r>
          </w:p>
          <w:p w14:paraId="5A21E0CD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 architektoniczny nie musi dotyczyć całego przedsięwzięcia.</w:t>
            </w:r>
          </w:p>
          <w:p w14:paraId="60BA0471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83C" w14:textId="48EF33D3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– Wnioskodawca posiada dokumentację wykonawczą 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wyłonione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go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konkursie architektonicznym, architektoniczno-urbanistycznym lub urbanistycznym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- 4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pkt;</w:t>
            </w:r>
          </w:p>
          <w:p w14:paraId="1EACE94F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Wnioskodawca oświadcza, że przygotuje dokumentację wykonawczą projektu wyłonionego w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konkursie architektonicznym, architektoniczno-urbanistycznym lub urbanistycznym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pkt;</w:t>
            </w:r>
          </w:p>
          <w:p w14:paraId="6A7F486C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0A5770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9355D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0070CA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 nie podlega sumowaniu.</w:t>
            </w:r>
          </w:p>
          <w:p w14:paraId="27F3C123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4527B1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10922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C4E998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4241DC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E5865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77C6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53BAF6EB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3"/>
      <w:tr w:rsidR="005E3B1E" w:rsidRPr="00717F37" w14:paraId="235833BA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6EF" w14:textId="3C2C67C8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3D6" w14:textId="2B3321F3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Rozwiązania energooszczędne i z zakresu</w:t>
            </w:r>
            <w:r w:rsidRPr="004B20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obiegu cyrkularnego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762" w14:textId="52D1CECB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przewidują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zmniejszenie zapotrzebowania i zużycia energii, a przez to zmniejszenie ogólnych kosztów eksploatacji budynków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lub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</w:p>
          <w:p w14:paraId="3F848EBF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650E8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EEC16E8" w14:textId="77777777" w:rsidR="005E3B1E" w:rsidRPr="001B170A" w:rsidRDefault="005E3B1E" w:rsidP="005E3B1E">
            <w:pPr>
              <w:spacing w:after="0" w:line="240" w:lineRule="auto"/>
              <w:jc w:val="both"/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  <w:r>
              <w:t xml:space="preserve"> </w:t>
            </w:r>
            <w:r>
              <w:tab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A65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2B05E9" w14:textId="03CA2921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lub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 pkt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1F8E80B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ED4B8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r w:rsidRPr="00717F37" w:rsidDel="00612AB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386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EDB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6A4FFCF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AB9" w14:textId="5EF83105" w:rsidR="005E3B1E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717F37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22241">
              <w:rPr>
                <w:rFonts w:ascii="Arial" w:hAnsi="Arial" w:cs="Arial"/>
                <w:b/>
                <w:bCs/>
                <w:sz w:val="18"/>
                <w:szCs w:val="18"/>
              </w:rPr>
              <w:t>Zgodność projektu z ideą inicjatywy Nowy Europejski Bauhaus (z ang. NEB)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9E5" w14:textId="42B9F99E" w:rsidR="005E3B1E" w:rsidRDefault="00036B9C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36B9C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NEB jest horyzontalnym projektem ekologiczno-gospodarczo-kulturalnym, stanowiącym praktyczną realizację założeń Europejskiego Zielonego Ładu w przestrzeni mieszkalnej. NEB kieruje się trójkątem trzech podstawowych wartości, takich jak: </w:t>
            </w:r>
            <w:r w:rsidRPr="00036B9C">
              <w:rPr>
                <w:rFonts w:ascii="Arial" w:hAnsi="Arial" w:cs="Arial"/>
                <w:sz w:val="18"/>
                <w:szCs w:val="18"/>
              </w:rPr>
              <w:t xml:space="preserve"> zrównoważenie środowiskowe/balans środowiskowy, w tym m.in. wkomponowanie elementów przyrody w tkankę miejską, zbilansowanie stref zabudowy miejskiej dbałością o różnorodność biologiczną, </w:t>
            </w:r>
            <w:r w:rsidRPr="00036B9C">
              <w:rPr>
                <w:rFonts w:ascii="Arial" w:hAnsi="Arial" w:cs="Arial"/>
                <w:sz w:val="18"/>
                <w:szCs w:val="18"/>
              </w:rPr>
              <w:t xml:space="preserve"> estetyka - uwzględnianie - poza funkcjonalnością - również elementów kompozycji architektonicznej uwzględniającej harmonię, dbałość o jakość i styl przestrzeni - rozwiązania oparte o aspekty przyrodnicze, </w:t>
            </w:r>
            <w:r w:rsidRPr="00036B9C">
              <w:rPr>
                <w:rFonts w:ascii="Arial" w:hAnsi="Arial" w:cs="Arial"/>
                <w:sz w:val="18"/>
                <w:szCs w:val="18"/>
              </w:rPr>
              <w:t> 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73B4" w14:textId="22835FF2" w:rsidR="00DB09A0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1822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uwzględnia zasady inicjatywy NEB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p w14:paraId="3CEC8C46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77777777" w:rsidR="00DB09A0" w:rsidRDefault="00DB09A0" w:rsidP="00DB09A0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Default="005E3B1E" w:rsidP="0018223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630D71A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050" w14:textId="69DED4CC" w:rsidR="005E3B1E" w:rsidDel="005663ED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DD8" w14:textId="27E6FBA0" w:rsidR="005E3B1E" w:rsidRPr="00717F37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Wsparcie tymczasowego </w:t>
            </w:r>
            <w:r w:rsidR="006F6814" w:rsidRPr="006F681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zagospodarowania przestrzeni miejskich jako element procesu rewitalizacji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75" w14:textId="36539E3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zakłada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ją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promowanie lub zastosowanie koncepcji tymczasowego wykorzystania w celu rewitalizacji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F6814" w:rsidRP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elementu projektu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</w:t>
            </w:r>
          </w:p>
          <w:p w14:paraId="30EB072A" w14:textId="7777777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7E9712" w14:textId="1848F446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 Definicja:  „Tymczasowe wykorzystanie w celu rewitalizacji to praktyka zagospodarowania pustych lub niewykorzystanych przestrzeni miejskich przez ograniczony czas, często w drodze inicjatyw opartych na współpracy i kierowanych przez społeczność. Ma na celu rewitalizację i aktywizację tych przestrzeni, promowanie interakcji społecznych i tworzenie możliwości gospodarczych, przyczyniając się jednocześnie do ogólnej poprawy środowiska.”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BF2" w14:textId="77777777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promowanie lub zastosowanie koncepcji tymczasowego wykorzystania w celu rewitalizacji miast – 1pkt</w:t>
            </w:r>
          </w:p>
          <w:p w14:paraId="5C181E05" w14:textId="77777777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444905E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4DC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D65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24DC5AB7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38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CCAB8B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DDCBFD" w14:textId="57975523" w:rsidR="005E3B1E" w:rsidRPr="001B170A" w:rsidRDefault="00504EE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="005E3B1E"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18E7703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1C9D15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1CAA2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776745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C1984E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FCEB2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D6636E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D23" w14:textId="634FFAF2" w:rsidR="005E3B1E" w:rsidRPr="001B170A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zielonej infrastruktury, w szczególności </w:t>
            </w:r>
            <w:r w:rsidR="00C22241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p w14:paraId="7083612C" w14:textId="77777777" w:rsidR="005E3B1E" w:rsidRPr="00AF70B0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FC1" w14:textId="0E5AFD3E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 </w:t>
            </w: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promuj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zachowanie i rozwój zielonej infrastruktury w tym zakaz wycinania starodrzewia, usuwania zieleni w celu utwardzenia betonem placów i innych przestrzeni publicznych oraz na obszarach zabytkowych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Ewentualna konieczność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wycinki 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zieleni,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być szczegółow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uzasadni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ona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uwarunkowana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podjęci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em adekwatnych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działań kompensacyjnych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0B50492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213F2C8" w14:textId="7777777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54E" w14:textId="3B8AAB5A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zakłada zachowanie i rozwój zielonej infrastruktury – 5 pkt</w:t>
            </w:r>
          </w:p>
          <w:p w14:paraId="584DC972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35FAD9" w14:textId="77777777" w:rsidR="005E3B1E" w:rsidRPr="00AF70B0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DD6415" w14:paraId="09C1BE5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73D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03D0F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73C02F" w14:textId="0BC89229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A60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504EE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2A0B6F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983783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C967A41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DCC50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77FD7AA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17617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9C2853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512" w14:textId="77777777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4" w:name="_Hlk151019586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4"/>
          <w:p w14:paraId="6B0640DD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981" w14:textId="0BEB5F4B" w:rsidR="005E3B1E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są 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zlokalizowane w gminach,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których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G (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wskaźnika podstawowych dochodów podatkowych w przeliczeniu na jednego mieszkańca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2023 r. jest niższa od 3 211,77 PLN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ta została obliczona przez IZ FEM 2021-2027 na podstawie danych publikowanych przez Ministerstwo Finansów oraz Główny Urząd Statystyczny.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Dane dotyczące wskaźnika G dla poszczególnych gmin znajdują się na stronie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A6036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https://www.gov.pl/web/finanse/wskazniki-dochodow-podatkowych-gmin-powiatow-i-wojewodztw-na-2023-r</w:t>
              </w:r>
            </w:hyperlink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3557D75F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482" w14:textId="77777777" w:rsidR="00D632A5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realizowany jest na terenie gminy,</w:t>
            </w:r>
          </w:p>
          <w:p w14:paraId="19956D29" w14:textId="3DCC35CB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wskaźnik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 jest niższ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</w:t>
            </w: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3 211,77 PLN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3 pkt</w:t>
            </w:r>
          </w:p>
          <w:p w14:paraId="14897EA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CBE44A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A1D" w14:textId="1A51A218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E7F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3BD920C3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B1B" w14:textId="0D4A762B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EAD" w14:textId="05627109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Komplementarność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działań rewitalizacyjnych realizowanych w ramach 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projektu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przedsięwzięciami</w:t>
            </w:r>
          </w:p>
          <w:p w14:paraId="5E253F20" w14:textId="77777777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finansowanymi </w:t>
            </w:r>
          </w:p>
          <w:p w14:paraId="11E98D62" w14:textId="39C106BE" w:rsid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 ramach innych działań realizowanych w ramach EFRR oraz EFS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9F0" w14:textId="77777777" w:rsidR="001F473C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ryterium promuje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projekty, które zakładają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47E1A285" w14:textId="614CBE38" w:rsidR="001F473C" w:rsidRPr="005E3B1E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badana będzie zarówno w odniesieniu do perspektywy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jak i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998" w14:textId="77777777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– 1 pkt.</w:t>
            </w:r>
          </w:p>
          <w:p w14:paraId="3624B1D1" w14:textId="7BBAB860" w:rsidR="001F473C" w:rsidRPr="00662197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24DBFFFF" w:rsidR="001F473C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98ADD65" w:rsidR="001F473C" w:rsidRPr="00A72C3D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71CC1CFF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8FB" w14:textId="6DA2AFDF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8E8" w14:textId="14494492" w:rsidR="001F473C" w:rsidRPr="001F473C" w:rsidRDefault="004306D4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49E" w14:textId="4990DD0E" w:rsidR="004306D4" w:rsidRPr="004306D4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promuje projekty infrastrukturalne komplementarn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projektami społecznymi. </w:t>
            </w:r>
          </w:p>
          <w:p w14:paraId="5BDF12B5" w14:textId="53B1F981" w:rsidR="00A32662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Realizacja, projektów społecznych powiązanych z inwestycją wspieraną ze środków Działania 9.1 lub 9.2 FEM 2021-2027 musi trwać min. 1 rok w ciągu </w:t>
            </w:r>
            <w:r w:rsidR="00BE02F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lat od rzeczowego zakończenia projektu</w:t>
            </w:r>
            <w:r w:rsidR="00BE02F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(okres trwałości projektu)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W uzasadnionych przypadkach, popartych analizą zapotrzebowania (np. ewaluacji on-going/ mid-term/bieżącej) dopuszcza się możliwość dostosowania zakresu projektu społecznego do bieżących potrzeb.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517" w14:textId="40F5C651" w:rsidR="001F473C" w:rsidRDefault="004306D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wykazał komplementarność i powiązanie projektu z działaniami współfinasowanymi ze środków EFS+ lub równoważnymi finansowanymi z innych źródeł, realizowanymi przez niego lub inne podmioty zaangażowane w projekt na rzecz poprawy jakości życia lokalnej społeczności </w:t>
            </w:r>
            <w:r w:rsidR="00ED37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1 pkt. </w:t>
            </w:r>
          </w:p>
          <w:p w14:paraId="364E49F9" w14:textId="77777777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DD8F36" w14:textId="086FFBC1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2009B6D7" w:rsidR="001F473C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A72C3D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4CCB0953" w14:textId="77777777" w:rsidTr="00504EE5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633803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38B71D5D" w:rsidR="005E3B1E" w:rsidRPr="001B170A" w:rsidRDefault="006C018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</w:tr>
    </w:tbl>
    <w:p w14:paraId="2431A133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F01F885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396B3C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6"/>
          <w:szCs w:val="16"/>
          <w:u w:val="single"/>
        </w:rPr>
      </w:pPr>
      <w:bookmarkStart w:id="5" w:name="_Hlk150946841"/>
      <w:r w:rsidRPr="00396B3C">
        <w:rPr>
          <w:rFonts w:ascii="Arial" w:hAnsi="Arial" w:cs="Arial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396B3C">
        <w:rPr>
          <w:rFonts w:ascii="Arial" w:hAnsi="Arial" w:cs="Arial"/>
          <w:sz w:val="20"/>
          <w:szCs w:val="20"/>
        </w:rPr>
        <w:t>i:</w:t>
      </w:r>
    </w:p>
    <w:p w14:paraId="27A597D6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6BEACBC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BF5606B" w14:textId="77777777" w:rsidR="005663ED" w:rsidRP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1. Zachowanie i rozwój zielonej infrastruktury, w szczególności na ochronę drzew</w:t>
      </w:r>
    </w:p>
    <w:p w14:paraId="7F80C494" w14:textId="77777777" w:rsid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2. Rozwiązania energooszczędne i z zakresu obiegu cyrkularnego</w:t>
      </w:r>
    </w:p>
    <w:p w14:paraId="0A026E8F" w14:textId="77777777" w:rsidR="002C2CDF" w:rsidRPr="00396B3C" w:rsidRDefault="002C2CDF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2C2CDF">
        <w:rPr>
          <w:rFonts w:ascii="Arial" w:hAnsi="Arial" w:cs="Arial"/>
          <w:b/>
          <w:color w:val="000000"/>
          <w:sz w:val="20"/>
          <w:szCs w:val="20"/>
        </w:rPr>
        <w:t>Dochody gmin</w:t>
      </w:r>
    </w:p>
    <w:bookmarkEnd w:id="0"/>
    <w:bookmarkEnd w:id="1"/>
    <w:bookmarkEnd w:id="5"/>
    <w:p w14:paraId="1A58231E" w14:textId="77777777" w:rsidR="00175BD4" w:rsidRPr="00036C42" w:rsidRDefault="00175BD4" w:rsidP="006A66BD">
      <w:pPr>
        <w:pStyle w:val="Akapitzlist"/>
        <w:spacing w:after="0"/>
        <w:ind w:left="-142" w:hanging="284"/>
        <w:jc w:val="both"/>
        <w:rPr>
          <w:rFonts w:ascii="Arial" w:hAnsi="Arial" w:cs="Arial"/>
        </w:rPr>
      </w:pPr>
    </w:p>
    <w:sectPr w:rsidR="00175BD4" w:rsidRPr="00036C42" w:rsidSect="00657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1"/>
  </w:num>
  <w:num w:numId="2" w16cid:durableId="255292635">
    <w:abstractNumId w:val="2"/>
  </w:num>
  <w:num w:numId="3" w16cid:durableId="159983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36B9C"/>
    <w:rsid w:val="00036C42"/>
    <w:rsid w:val="00073514"/>
    <w:rsid w:val="00087333"/>
    <w:rsid w:val="0009047E"/>
    <w:rsid w:val="000C14F7"/>
    <w:rsid w:val="000C1E4E"/>
    <w:rsid w:val="000E119C"/>
    <w:rsid w:val="000F11CA"/>
    <w:rsid w:val="00175BD4"/>
    <w:rsid w:val="0018223E"/>
    <w:rsid w:val="0019282A"/>
    <w:rsid w:val="00192B83"/>
    <w:rsid w:val="001B170A"/>
    <w:rsid w:val="001E2A8F"/>
    <w:rsid w:val="001F473C"/>
    <w:rsid w:val="002B7130"/>
    <w:rsid w:val="002C2CDF"/>
    <w:rsid w:val="002C5FA2"/>
    <w:rsid w:val="002F3801"/>
    <w:rsid w:val="00306339"/>
    <w:rsid w:val="003413F9"/>
    <w:rsid w:val="00356ED9"/>
    <w:rsid w:val="003604CE"/>
    <w:rsid w:val="00371150"/>
    <w:rsid w:val="00382E82"/>
    <w:rsid w:val="00396B3C"/>
    <w:rsid w:val="003E7B4D"/>
    <w:rsid w:val="004306D4"/>
    <w:rsid w:val="00486AF0"/>
    <w:rsid w:val="00490E6D"/>
    <w:rsid w:val="004A69E3"/>
    <w:rsid w:val="004B204A"/>
    <w:rsid w:val="004D43DF"/>
    <w:rsid w:val="00502D7B"/>
    <w:rsid w:val="0050343D"/>
    <w:rsid w:val="00504EE5"/>
    <w:rsid w:val="00506533"/>
    <w:rsid w:val="0051317E"/>
    <w:rsid w:val="00521E8A"/>
    <w:rsid w:val="005316B4"/>
    <w:rsid w:val="00562086"/>
    <w:rsid w:val="005663ED"/>
    <w:rsid w:val="00580105"/>
    <w:rsid w:val="00594195"/>
    <w:rsid w:val="005A6036"/>
    <w:rsid w:val="005C1EA1"/>
    <w:rsid w:val="005C6864"/>
    <w:rsid w:val="005E3B1E"/>
    <w:rsid w:val="00612ABC"/>
    <w:rsid w:val="00633803"/>
    <w:rsid w:val="00641714"/>
    <w:rsid w:val="006577CD"/>
    <w:rsid w:val="006718AA"/>
    <w:rsid w:val="006A66BD"/>
    <w:rsid w:val="006C0186"/>
    <w:rsid w:val="006F6814"/>
    <w:rsid w:val="00717F37"/>
    <w:rsid w:val="0074284C"/>
    <w:rsid w:val="00773A45"/>
    <w:rsid w:val="007C5B4C"/>
    <w:rsid w:val="007D5279"/>
    <w:rsid w:val="00804AE0"/>
    <w:rsid w:val="0082201D"/>
    <w:rsid w:val="00834415"/>
    <w:rsid w:val="008409C8"/>
    <w:rsid w:val="0086645D"/>
    <w:rsid w:val="00877BE5"/>
    <w:rsid w:val="0089181E"/>
    <w:rsid w:val="00934096"/>
    <w:rsid w:val="0099414A"/>
    <w:rsid w:val="009B33F8"/>
    <w:rsid w:val="009B42AA"/>
    <w:rsid w:val="00A00571"/>
    <w:rsid w:val="00A042F5"/>
    <w:rsid w:val="00A13FB6"/>
    <w:rsid w:val="00A32662"/>
    <w:rsid w:val="00A51149"/>
    <w:rsid w:val="00A77484"/>
    <w:rsid w:val="00A84E67"/>
    <w:rsid w:val="00A931E9"/>
    <w:rsid w:val="00AA6129"/>
    <w:rsid w:val="00AD4226"/>
    <w:rsid w:val="00B17232"/>
    <w:rsid w:val="00B36C87"/>
    <w:rsid w:val="00B42B48"/>
    <w:rsid w:val="00B50A25"/>
    <w:rsid w:val="00B55DD6"/>
    <w:rsid w:val="00B6151F"/>
    <w:rsid w:val="00BD127C"/>
    <w:rsid w:val="00BE02FA"/>
    <w:rsid w:val="00C21E5E"/>
    <w:rsid w:val="00C22241"/>
    <w:rsid w:val="00C54D0B"/>
    <w:rsid w:val="00C83A96"/>
    <w:rsid w:val="00CA2BD0"/>
    <w:rsid w:val="00CC7C9E"/>
    <w:rsid w:val="00CD7A11"/>
    <w:rsid w:val="00D46416"/>
    <w:rsid w:val="00D632A5"/>
    <w:rsid w:val="00D66AE5"/>
    <w:rsid w:val="00D9067C"/>
    <w:rsid w:val="00DA45F1"/>
    <w:rsid w:val="00DB09A0"/>
    <w:rsid w:val="00DD1903"/>
    <w:rsid w:val="00DD1CE3"/>
    <w:rsid w:val="00DD6415"/>
    <w:rsid w:val="00DF3C78"/>
    <w:rsid w:val="00E07D66"/>
    <w:rsid w:val="00E10956"/>
    <w:rsid w:val="00E147B4"/>
    <w:rsid w:val="00E367E5"/>
    <w:rsid w:val="00E43BBA"/>
    <w:rsid w:val="00E45423"/>
    <w:rsid w:val="00E511F8"/>
    <w:rsid w:val="00E5385B"/>
    <w:rsid w:val="00E73135"/>
    <w:rsid w:val="00E83D1D"/>
    <w:rsid w:val="00EA3682"/>
    <w:rsid w:val="00ED37A6"/>
    <w:rsid w:val="00ED41AA"/>
    <w:rsid w:val="00F04D2F"/>
    <w:rsid w:val="00F222BE"/>
    <w:rsid w:val="00F3796D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finanse/wskazniki-dochodow-podatkowych-gmin-powiatow-i-wojewodztw-na-2023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4</cp:revision>
  <cp:lastPrinted>2023-11-17T08:04:00Z</cp:lastPrinted>
  <dcterms:created xsi:type="dcterms:W3CDTF">2023-12-08T13:08:00Z</dcterms:created>
  <dcterms:modified xsi:type="dcterms:W3CDTF">2023-12-14T09:35:00Z</dcterms:modified>
</cp:coreProperties>
</file>