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70" w:rsidRDefault="001A2433" w:rsidP="00BC4C91">
      <w:pPr>
        <w:pStyle w:val="Nagwek1"/>
        <w:spacing w:before="0" w:after="0" w:line="240" w:lineRule="auto"/>
        <w:rPr>
          <w:rStyle w:val="Nagwek1Znak"/>
          <w:rFonts w:ascii="Arial" w:hAnsi="Arial" w:cs="Arial"/>
          <w:b/>
          <w:sz w:val="20"/>
          <w:szCs w:val="20"/>
        </w:rPr>
      </w:pPr>
      <w:r w:rsidRPr="00FD2370">
        <w:rPr>
          <w:rStyle w:val="Nagwek1Znak"/>
          <w:rFonts w:ascii="Arial" w:hAnsi="Arial" w:cs="Arial"/>
          <w:b/>
          <w:sz w:val="20"/>
          <w:szCs w:val="20"/>
        </w:rPr>
        <w:t>Kryteria formalne obowiązujące w ramach RPO WM dla naborów pozakonkursowych w ramach Poddziałania</w:t>
      </w:r>
      <w:r w:rsidR="00FD2370" w:rsidRPr="00FD2370">
        <w:rPr>
          <w:rStyle w:val="Nagwek1Znak"/>
          <w:rFonts w:ascii="Arial" w:hAnsi="Arial" w:cs="Arial"/>
          <w:b/>
          <w:sz w:val="20"/>
          <w:szCs w:val="20"/>
        </w:rPr>
        <w:t xml:space="preserve"> 9.2.2 i 10.1.1 realizowanych w </w:t>
      </w:r>
      <w:r w:rsidRPr="00FD2370">
        <w:rPr>
          <w:rStyle w:val="Nagwek1Znak"/>
          <w:rFonts w:ascii="Arial" w:hAnsi="Arial" w:cs="Arial"/>
          <w:b/>
          <w:sz w:val="20"/>
          <w:szCs w:val="20"/>
        </w:rPr>
        <w:t xml:space="preserve">związku z epidemią </w:t>
      </w:r>
      <w:r w:rsidR="0024617E">
        <w:rPr>
          <w:rStyle w:val="Nagwek1Znak"/>
          <w:rFonts w:ascii="Arial" w:hAnsi="Arial" w:cs="Arial"/>
          <w:b/>
          <w:sz w:val="20"/>
          <w:szCs w:val="20"/>
        </w:rPr>
        <w:t>korona</w:t>
      </w:r>
      <w:r w:rsidR="00BC4C91">
        <w:rPr>
          <w:rStyle w:val="Nagwek1Znak"/>
          <w:rFonts w:ascii="Arial" w:hAnsi="Arial" w:cs="Arial"/>
          <w:b/>
          <w:sz w:val="20"/>
          <w:szCs w:val="20"/>
        </w:rPr>
        <w:t>wirusa</w:t>
      </w:r>
    </w:p>
    <w:p w:rsidR="00BC4C91" w:rsidRPr="00BC4C91" w:rsidRDefault="00BC4C91" w:rsidP="00BC4C91"/>
    <w:tbl>
      <w:tblPr>
        <w:tblpPr w:leftFromText="141" w:rightFromText="141" w:vertAnchor="text" w:tblpY="1"/>
        <w:tblOverlap w:val="never"/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"/>
        <w:gridCol w:w="3809"/>
        <w:gridCol w:w="6805"/>
        <w:gridCol w:w="2125"/>
      </w:tblGrid>
      <w:tr w:rsidR="00FD2370" w:rsidRPr="00FD2370" w:rsidTr="00FD2370">
        <w:trPr>
          <w:trHeight w:val="659"/>
          <w:tblHeader/>
        </w:trPr>
        <w:tc>
          <w:tcPr>
            <w:tcW w:w="258" w:type="pct"/>
            <w:vMerge w:val="restart"/>
            <w:shd w:val="clear" w:color="auto" w:fill="F2F2F2"/>
          </w:tcPr>
          <w:p w:rsidR="00FD2370" w:rsidRPr="00FD2370" w:rsidRDefault="00FD2370" w:rsidP="0010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7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pct"/>
            <w:vMerge w:val="restart"/>
            <w:shd w:val="clear" w:color="auto" w:fill="F2F2F2"/>
          </w:tcPr>
          <w:p w:rsidR="00FD2370" w:rsidRPr="00FD2370" w:rsidRDefault="00FD2370" w:rsidP="0010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70">
              <w:rPr>
                <w:rFonts w:ascii="Arial" w:hAnsi="Arial" w:cs="Arial"/>
                <w:b/>
                <w:sz w:val="20"/>
                <w:szCs w:val="20"/>
              </w:rPr>
              <w:t>Brzmienie kryterium</w:t>
            </w:r>
          </w:p>
        </w:tc>
        <w:tc>
          <w:tcPr>
            <w:tcW w:w="2533" w:type="pct"/>
            <w:vMerge w:val="restart"/>
            <w:shd w:val="clear" w:color="auto" w:fill="F2F2F2"/>
          </w:tcPr>
          <w:p w:rsidR="00FD2370" w:rsidRPr="00FD2370" w:rsidRDefault="00FD2370" w:rsidP="0010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370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791" w:type="pct"/>
            <w:vMerge w:val="restart"/>
            <w:shd w:val="clear" w:color="auto" w:fill="F2F2F2"/>
          </w:tcPr>
          <w:p w:rsidR="00FD2370" w:rsidRPr="00FD2370" w:rsidRDefault="00105D53" w:rsidP="00105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znaczenia kryterium</w:t>
            </w:r>
          </w:p>
        </w:tc>
      </w:tr>
      <w:tr w:rsidR="00FD2370" w:rsidRPr="00FD2370" w:rsidTr="00105D53">
        <w:trPr>
          <w:trHeight w:val="230"/>
        </w:trPr>
        <w:tc>
          <w:tcPr>
            <w:tcW w:w="258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FD2370" w:rsidRPr="00FD2370" w:rsidRDefault="00FD237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FD2370" w:rsidRPr="00FD2370" w:rsidRDefault="00FD237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FD2370" w:rsidRPr="00FD2370" w:rsidRDefault="00FD237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FD2370" w:rsidRPr="00FD2370" w:rsidRDefault="00FD2370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Wnioskodawca nie podlega zakazowi udzielania dofinansowania podmiotom wykluczonym lub nie orzeczono wobec niego zakazu dostępu do środków funduszy europejskich na podstawie obowiązujących przepisów.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Wnioskodawca nie podlega wykluczeniu z możliwości ubiegania się o dofinansowanie ze środków funduszy europejskich na podstawie obowiązujących przepisów, w szczególności:</w:t>
            </w:r>
          </w:p>
          <w:p w:rsidR="00B06D2E" w:rsidRPr="00FD2370" w:rsidRDefault="00B06D2E" w:rsidP="00105D53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art. 207 ust. 4 ustawy z dnia 27 sierpnia 2009 r. o finansach publicznych;</w:t>
            </w:r>
          </w:p>
          <w:p w:rsidR="00B06D2E" w:rsidRPr="00FD2370" w:rsidRDefault="00B06D2E" w:rsidP="00105D53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:rsidR="00B06D2E" w:rsidRPr="00FD2370" w:rsidRDefault="00B06D2E" w:rsidP="00105D53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</w:t>
            </w:r>
          </w:p>
        </w:tc>
        <w:tc>
          <w:tcPr>
            <w:tcW w:w="791" w:type="pct"/>
            <w:vMerge w:val="restar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Spełnienie kryteriów jest konieczne do przyznania dofinansowania.</w:t>
            </w:r>
          </w:p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Projekty niespełniające kryteriów formalnych kierowane są do jednokrotnej poprawy lub uzupełnienia, z wyjątkiem sytuacji, kiedy projekt pozakonkursowy został usunięty z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 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6D2E" w:rsidRPr="00105D53" w:rsidRDefault="00B06D2E" w:rsidP="00105D53">
            <w:pPr>
              <w:spacing w:after="0" w:line="240" w:lineRule="auto"/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pozakonkursowego w wyznaczonym terminie wniosek jest odrzucany na etapie oceny formalnej.</w:t>
            </w: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Projekt opisany we wniosku o dofinansowanie nie jest zakończony.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Projekt nie jest zakończony w rozumieniu z art. 65 ust. 6 </w:t>
            </w:r>
            <w:r w:rsidRPr="00FD2370">
              <w:rPr>
                <w:rFonts w:ascii="Arial" w:hAnsi="Arial" w:cs="Arial"/>
              </w:rPr>
              <w:t xml:space="preserve"> 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Rozporządzenia Parlamentu Europejskiego i Rady (UE) nr 1303/2013  z dnia 17 grudnia </w:t>
            </w:r>
            <w:r>
              <w:rPr>
                <w:rFonts w:ascii="Arial" w:hAnsi="Arial" w:cs="Arial"/>
                <w:sz w:val="20"/>
                <w:szCs w:val="20"/>
              </w:rPr>
              <w:t>2013 r.</w:t>
            </w:r>
          </w:p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Oświadczenia Wnioskodawcy.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BC4C91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auto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Zgodność projektu opisanego we wniosku o dofinansowanie z wezwaniem do złożenia wniosku</w:t>
            </w:r>
          </w:p>
        </w:tc>
        <w:tc>
          <w:tcPr>
            <w:tcW w:w="2533" w:type="pct"/>
            <w:shd w:val="clear" w:color="auto" w:fill="auto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 ramach kryterium ocenia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będzie</w:t>
            </w:r>
            <w:r>
              <w:rPr>
                <w:rFonts w:ascii="Arial" w:hAnsi="Arial" w:cs="Arial"/>
                <w:sz w:val="20"/>
                <w:szCs w:val="20"/>
              </w:rPr>
              <w:t xml:space="preserve"> zgodność projektu z wezwaniem do złożenia wniosku w zakresie</w:t>
            </w:r>
            <w:r w:rsidRPr="00FD237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06D2E" w:rsidRPr="00FD2370" w:rsidRDefault="00B06D2E" w:rsidP="00105D5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grupy docelowej;</w:t>
            </w:r>
          </w:p>
          <w:p w:rsidR="00B06D2E" w:rsidRPr="00FD2370" w:rsidRDefault="00B06D2E" w:rsidP="00105D5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typu projektu;</w:t>
            </w:r>
          </w:p>
          <w:p w:rsidR="00B06D2E" w:rsidRPr="00FD2370" w:rsidRDefault="00B06D2E" w:rsidP="00105D5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okres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realizacji projektu;</w:t>
            </w:r>
          </w:p>
          <w:p w:rsidR="00B06D2E" w:rsidRDefault="00B06D2E" w:rsidP="00105D5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poziom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kosztów pośrednich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06D2E" w:rsidRPr="00FD2370" w:rsidRDefault="00B06D2E" w:rsidP="00105D5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poziomu wymaganego wkładu własnego</w:t>
            </w:r>
            <w:r w:rsidRPr="00FD23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Wnioskodawca w okresie realizacji projektu prowadzi biuro projektu na terenie województwa mazowieckiego.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Zgodność projektu opisanego we wniosku o dofinansowanie z prawodawstwem krajowym, w tym z </w:t>
            </w:r>
            <w:r w:rsidRPr="00FD2370">
              <w:rPr>
                <w:rFonts w:ascii="Arial" w:hAnsi="Arial" w:cs="Arial"/>
                <w:sz w:val="20"/>
                <w:szCs w:val="20"/>
              </w:rPr>
              <w:lastRenderedPageBreak/>
              <w:t>ustawą Prawo zamówień publicznych.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lastRenderedPageBreak/>
              <w:t>Kryterium będzie weryfikowane w oparciu o zawarte we wniosku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Zgodność projektu opisanego we wniosku o dofinansowanie z zasadami dotyczącymi pomocy publicznej / pomocy de minimis.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 ramach kryterium będzie weryfikowana zgodność z warunkami wsparcia dotyczącymi pomocy publicznej lub pomocy de minimis, wynikającymi z aktów prawnych wskazanych w Regulaminie konkursu, w tym w szczególności:</w:t>
            </w:r>
          </w:p>
          <w:p w:rsidR="00B06D2E" w:rsidRPr="00FD2370" w:rsidRDefault="00B06D2E" w:rsidP="00105D53">
            <w:pPr>
              <w:numPr>
                <w:ilvl w:val="0"/>
                <w:numId w:val="7"/>
              </w:numPr>
              <w:spacing w:after="0" w:line="240" w:lineRule="auto"/>
              <w:ind w:left="247" w:hanging="24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możliwość udzielenia wsparcia Wnioskodawcy wynikająca z właściwych przepisów o pomocy publicznej lub pomocy de minimis będących podstawą prawną udzielenia wsparcia w ramach działania;</w:t>
            </w:r>
          </w:p>
          <w:p w:rsidR="00B06D2E" w:rsidRPr="00FD2370" w:rsidRDefault="00B06D2E" w:rsidP="00105D53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prawidłowość określenia statusu przedsiębiorstwa: </w:t>
            </w:r>
            <w:r w:rsidRPr="00FD2370">
              <w:rPr>
                <w:rFonts w:ascii="Arial" w:hAnsi="Arial" w:cs="Arial"/>
                <w:sz w:val="20"/>
                <w:szCs w:val="20"/>
              </w:rPr>
              <w:br/>
              <w:t xml:space="preserve">a) w przypadku Wnioskodawców ubiegających się o pomoc publiczną na podstawie rozporządzenia Komisji (UE) nr 651/2014 z dnia 17 czerwca 2014 r. uznającego niektóre rodzaje pomocy za zgodne z rynkiem wewnętrznym w zastosowaniu art. 107 i 108 Traktatu  - zgodnie z Załącznikiem I do tego rozporządzenia, </w:t>
            </w:r>
            <w:r w:rsidRPr="00FD2370">
              <w:rPr>
                <w:rFonts w:ascii="Arial" w:hAnsi="Arial" w:cs="Arial"/>
                <w:sz w:val="20"/>
                <w:szCs w:val="20"/>
              </w:rPr>
              <w:br/>
              <w:t xml:space="preserve">b) w przypadku Wnioskodawców ubiegających się o pomoc de minimis na podstawie rozporządzenia Komisji (UE) nr 1407/2013 z dnia 18 grudnia 2013 r. w sprawie stosowania art. 107 i 108 Traktatu o funkcjonowaniu Unii Europejskiej do pomocy de minimis - zgodnie z art. 2 ust. 2 tego rozporządzenia, z uwzględnieniem dokumentu: Zalecenia Komisji 2003/361/WE z dnia 6 maja 2003 r., dotyczące definicji przedsiębiorstw mikro, małych i średnich; </w:t>
            </w:r>
          </w:p>
          <w:p w:rsidR="00B06D2E" w:rsidRPr="00FD2370" w:rsidRDefault="00B06D2E" w:rsidP="00105D53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czy realizacja przedsięwzięcia mieści się w ramach czasowych dopuszczalnych we właściwych przepisach o pomocy publicznej lub pomocy de minimis będących podstawą prawną udzielenia wsparcia w ramach danego działania;</w:t>
            </w:r>
          </w:p>
          <w:p w:rsidR="00B06D2E" w:rsidRPr="00FD2370" w:rsidRDefault="00B06D2E" w:rsidP="00105D53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czy wnioskowana kwota i zakres projektu, w tym wydatki kwalifikowalne są zgodne z przepisami o pomocy publicznej lub pomocy de minimis będących podstawą prawną udzielenia wsparcia w ramach działania.</w:t>
            </w:r>
          </w:p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Możliwe warianty odpowiedzi: tak, nie, nie dotyczy.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5238A">
        <w:trPr>
          <w:trHeight w:val="721"/>
        </w:trPr>
        <w:tc>
          <w:tcPr>
            <w:tcW w:w="258" w:type="pct"/>
            <w:tcBorders>
              <w:bottom w:val="single" w:sz="4" w:space="0" w:color="auto"/>
            </w:tcBorders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Zgodność projektu opisanego we wniosku o dofinansowanie z zasadą równości szans kobiet i mężczyzn, w oparciu o standard minimum.</w:t>
            </w:r>
          </w:p>
        </w:tc>
        <w:tc>
          <w:tcPr>
            <w:tcW w:w="2533" w:type="pct"/>
            <w:tcBorders>
              <w:bottom w:val="single" w:sz="4" w:space="0" w:color="auto"/>
            </w:tcBorders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 ramach kryterium weryfikowana będzie zgodność z zasadami horyzontalnymi UE, dotyczącymi promowania równości szans kobiet i mężczyzn oraz niedyskryminacji, zgodnie z art. 7 Rozporządzenia Parlamentu Europejskiego i Rady (UE) nr 1303/2013 z dnia 17 grudnia 2013 r. Projekty realizowane w ramach EFS nie mogą być neutralne pod względem zasady równości szans kobiet i mężczyzn.</w:t>
            </w:r>
          </w:p>
          <w:p w:rsidR="00B06D2E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Spełnienie zasady równości szans kobiet i mężczyzn weryfikowane będzie poprzez zbadanie zgodności projektu ze standardem minimum </w:t>
            </w:r>
            <w:r w:rsidRPr="00FD2370">
              <w:rPr>
                <w:rFonts w:ascii="Arial" w:hAnsi="Arial" w:cs="Arial"/>
                <w:sz w:val="20"/>
                <w:szCs w:val="20"/>
              </w:rPr>
              <w:lastRenderedPageBreak/>
              <w:t>realizacji zasady równości szans kobiet i mężczyzn w ramach projektów współfinansowanych z EFS.</w:t>
            </w:r>
          </w:p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 dofinansowanie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Projekt ma pozytywny wpływ na zasadę niedyskryminacji, w tym dostępności dla osób z niepełnoprawnościami.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Przez pozytywny wpływ należy rozumieć zapewnienie dostępności do oferowanego w projekcie wsparcia dla wszystkich jego uczestników oraz zapewnienie dostępności wszystkich produktów projektu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2014-2020. </w:t>
            </w:r>
          </w:p>
          <w:p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W wyjątkowych sytuacjach, dopuszczalne jest uznanie neutralności produktu projektu. </w:t>
            </w:r>
            <w:r w:rsidRPr="00FD2370">
              <w:rPr>
                <w:rFonts w:ascii="Arial" w:hAnsi="Arial" w:cs="Arial"/>
                <w:sz w:val="20"/>
                <w:szCs w:val="20"/>
              </w:rPr>
              <w:br/>
              <w:t>O neutralności produktu można mówić w sytuacji, kiedy wnioskodawca wykaże we wniosku o dofinansowanie projektu, że dostępność nie dotyczy danego produktu na przykład z uwagi na brak jego bezpośrednich użytkowników.</w:t>
            </w:r>
          </w:p>
          <w:p w:rsidR="00B06D2E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Kryterium weryfikowane będzie na podstawie informacji zawartych we wniosku o dofinansowanie. </w:t>
            </w:r>
          </w:p>
          <w:p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 dofinansowanie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Zgodność projektu opisanego we wniosku o dofinansowanie z zasadą zrównoważonego rozwoju.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Projekt skierowany jest do grup docelowych z terenu województwa mazowieckiego.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W ramach kryterium weryfikowana będzie, czy projekt został skierowany do grup docelowych z obszaru województwa mazowieckiego (w przypadku osób fizycznych są to osoby, które uczą się, pracują lub zamieszkują na obszarze województwa mazowieckiego w rozumieniu przepisów Kodeksu Cywilnego, w pozostałych przypadkach są to podmioty posiadające jednostkę organizacyjną na obszarze województwa mazowieckiego).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pozakonkursowy jest zgodny z treścią zgłoszenia do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 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Treść wniosku pozakonkursowego jest zgodna z założeniami dla projektu wskazanymi w zgłoszeniu do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 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(WPP EFS), który podlegał akceptacji IZ RPO WM i jednocześnie stanowił podstawę do wprowadzenia projektu do WPP EFS.</w:t>
            </w:r>
          </w:p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W ramach kryterium weryfikowana będzie zgodność z typem Beneficjenta określonym w zgłoszeniu do WPP EFS, zgodność zakładanych efektów </w:t>
            </w:r>
            <w:r w:rsidRPr="00FD2370">
              <w:rPr>
                <w:rFonts w:ascii="Arial" w:hAnsi="Arial" w:cs="Arial"/>
                <w:sz w:val="20"/>
                <w:szCs w:val="20"/>
              </w:rPr>
              <w:lastRenderedPageBreak/>
              <w:t>projektu (celów i rezultatów).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pozakonkursowy znajduje się w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>Wykazie zidentyfikowanych projektów pozakonkursowych współfinansowanych ze środków EFS w 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 xml:space="preserve">W ramach kryterium weryfikowane będzie, czy projekt pozakonkursowy znajduje się w </w:t>
            </w:r>
            <w:r w:rsidRPr="00FD2370">
              <w:rPr>
                <w:rFonts w:ascii="Arial" w:hAnsi="Arial" w:cs="Arial"/>
                <w:i/>
                <w:sz w:val="20"/>
                <w:szCs w:val="20"/>
              </w:rPr>
              <w:t>Wykazie zidentyfikowanych projektów pozakonkursowych współfinansowanych ze środków EFS w RPO WM 2014-2020</w:t>
            </w:r>
            <w:r w:rsidRPr="00FD2370">
              <w:rPr>
                <w:rFonts w:ascii="Arial" w:hAnsi="Arial" w:cs="Arial"/>
                <w:sz w:val="20"/>
                <w:szCs w:val="20"/>
              </w:rPr>
              <w:t xml:space="preserve"> (WPP EFS). W przypadku gdy projekt pozakonkursowy, został usunięty z WPP EFS, wniosek zostaje odrzucony.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>Roczny łączny obrót Wnioskodawcy i partnerów (o ile budżet projektu uwzględnia wydatki partnera) jest równy lub wyższy od rocznych wydatków w projekcie.</w:t>
            </w:r>
          </w:p>
        </w:tc>
        <w:tc>
          <w:tcPr>
            <w:tcW w:w="2533" w:type="pct"/>
            <w:shd w:val="clear" w:color="auto" w:fill="FFFFFF"/>
          </w:tcPr>
          <w:p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 xml:space="preserve">W ramach kryterium weryfikowane będzie, czy wnioskodawca oraz partnerzy (o ile dotyczy), ponoszący wydatki w danym projekcie posiadają łączny obrót za ostatni zatwierdzony rok obrotowy lub za ostatni zamknięty i zatwierdzony rok kalendarzowy, równy lub wyższy od łącznych rocznych wydatków w ocenianym projekcie. </w:t>
            </w:r>
          </w:p>
          <w:p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>W przypadku, gdy roczny obrót Wnioskodawcy i Partnera jest niższy niż roczne wydatki w projekcie stwierdza się niespełnienie kryterium. W przypadku, gdy projekt trwa dłużej niż jeden rok kalendarzowy należy wartość obrotów odnieść do roku realizacji projektu, w którym wartość planowanych wydatków jest najwyższa.</w:t>
            </w:r>
          </w:p>
          <w:p w:rsidR="00B06D2E" w:rsidRPr="00FD2370" w:rsidRDefault="00B06D2E" w:rsidP="0010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 xml:space="preserve">Spełnienie kryterium jest weryfikowane na podstawie przedstawionych przez wnioskodawcę informacji potwierdzających jego potencjał finansowy oraz potencjał finansowy partnerów (o ile dotyczy) w zakresie wydatków ponoszonych w projekcie. </w:t>
            </w:r>
          </w:p>
          <w:p w:rsidR="00B06D2E" w:rsidRPr="00FD2370" w:rsidRDefault="00B06D2E" w:rsidP="00105D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>Wymóg spełniania powyższego kryterium dotyczy wszystkich wnioskodawców (również realizujących projekt w trybie pozakonkursowym).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D2E" w:rsidRPr="00FD2370" w:rsidTr="00FD2370">
        <w:trPr>
          <w:trHeight w:val="659"/>
        </w:trPr>
        <w:tc>
          <w:tcPr>
            <w:tcW w:w="258" w:type="pct"/>
            <w:shd w:val="clear" w:color="auto" w:fill="FFFFFF"/>
          </w:tcPr>
          <w:p w:rsidR="00B06D2E" w:rsidRPr="00FD2370" w:rsidRDefault="00B06D2E" w:rsidP="00105D5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shd w:val="clear" w:color="auto" w:fill="FFFFFF"/>
          </w:tcPr>
          <w:p w:rsidR="00B06D2E" w:rsidRPr="00F5238A" w:rsidRDefault="00B06D2E" w:rsidP="00B06D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238A">
              <w:rPr>
                <w:rFonts w:ascii="Arial" w:hAnsi="Arial" w:cs="Arial"/>
                <w:sz w:val="20"/>
                <w:szCs w:val="20"/>
              </w:rPr>
              <w:t>Działania dotyczące zakupu towarów lub usług zaplanowane w projekcie zostały uzgodnione z właściwym wojewodą (jeśli dotyczy).</w:t>
            </w:r>
          </w:p>
        </w:tc>
        <w:tc>
          <w:tcPr>
            <w:tcW w:w="2533" w:type="pct"/>
            <w:shd w:val="clear" w:color="auto" w:fill="FFFFFF"/>
          </w:tcPr>
          <w:p w:rsidR="00B06D2E" w:rsidRDefault="00B06D2E" w:rsidP="00B06D2E">
            <w:pPr>
              <w:tabs>
                <w:tab w:val="left" w:pos="50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2370">
              <w:rPr>
                <w:rFonts w:ascii="Arial" w:eastAsia="Times New Roman" w:hAnsi="Arial" w:cs="Arial"/>
                <w:sz w:val="20"/>
                <w:szCs w:val="20"/>
              </w:rPr>
              <w:t xml:space="preserve">W ramach kryterium weryfikowane będzie, czy wnioskodawca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uzgodnił </w:t>
            </w:r>
            <w:r w:rsidRPr="00F5238A">
              <w:rPr>
                <w:rFonts w:ascii="Arial" w:hAnsi="Arial" w:cs="Arial"/>
                <w:sz w:val="20"/>
                <w:szCs w:val="20"/>
              </w:rPr>
              <w:t>z właściwym wojewodą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</w:t>
            </w:r>
            <w:r w:rsidRPr="00F5238A">
              <w:rPr>
                <w:rFonts w:ascii="Arial" w:hAnsi="Arial" w:cs="Arial"/>
                <w:sz w:val="20"/>
                <w:szCs w:val="20"/>
              </w:rPr>
              <w:t>ziałania dotyczące zakupu towarów lu</w:t>
            </w:r>
            <w:r>
              <w:rPr>
                <w:rFonts w:ascii="Arial" w:hAnsi="Arial" w:cs="Arial"/>
                <w:sz w:val="20"/>
                <w:szCs w:val="20"/>
              </w:rPr>
              <w:t>b usług zaplanowane w projekcie.</w:t>
            </w:r>
          </w:p>
          <w:p w:rsidR="00B06D2E" w:rsidRDefault="00B06D2E" w:rsidP="00B06D2E">
            <w:pPr>
              <w:tabs>
                <w:tab w:val="left" w:pos="50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238A">
              <w:rPr>
                <w:rFonts w:ascii="Arial" w:hAnsi="Arial" w:cs="Arial"/>
                <w:sz w:val="20"/>
                <w:szCs w:val="20"/>
              </w:rPr>
              <w:t xml:space="preserve">Kryterium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</w:t>
            </w:r>
            <w:r w:rsidRPr="00F5238A">
              <w:rPr>
                <w:rFonts w:ascii="Arial" w:hAnsi="Arial" w:cs="Arial"/>
                <w:sz w:val="20"/>
                <w:szCs w:val="20"/>
              </w:rPr>
              <w:t>weryfikowane na podstawie zapisów wniosku dofinansowanie, wypeł</w:t>
            </w:r>
            <w:r>
              <w:rPr>
                <w:rFonts w:ascii="Arial" w:hAnsi="Arial" w:cs="Arial"/>
                <w:sz w:val="20"/>
                <w:szCs w:val="20"/>
              </w:rPr>
              <w:t xml:space="preserve">nionego na podstawie instrukcji. </w:t>
            </w:r>
          </w:p>
          <w:p w:rsidR="00B06D2E" w:rsidRPr="00430C1D" w:rsidRDefault="00B06D2E" w:rsidP="00B06D2E">
            <w:pPr>
              <w:tabs>
                <w:tab w:val="left" w:pos="50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2370">
              <w:rPr>
                <w:rFonts w:ascii="Arial" w:hAnsi="Arial" w:cs="Arial"/>
                <w:sz w:val="20"/>
                <w:szCs w:val="20"/>
              </w:rPr>
              <w:t>Możliwe warianty odpowiedzi: tak, nie, nie dotyczy.</w:t>
            </w:r>
          </w:p>
        </w:tc>
        <w:tc>
          <w:tcPr>
            <w:tcW w:w="791" w:type="pct"/>
            <w:vMerge/>
            <w:shd w:val="clear" w:color="auto" w:fill="FFFFFF"/>
          </w:tcPr>
          <w:p w:rsidR="00B06D2E" w:rsidRPr="00FD2370" w:rsidRDefault="00B06D2E" w:rsidP="00105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2433" w:rsidRPr="00FD2370" w:rsidRDefault="001A2433" w:rsidP="00105D5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105D53" w:rsidRPr="00FD2370" w:rsidRDefault="00105D5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sectPr w:rsidR="00105D53" w:rsidRPr="00FD2370" w:rsidSect="0034644D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BE" w:rsidRDefault="00A843BE" w:rsidP="0022537C">
      <w:pPr>
        <w:spacing w:after="0" w:line="240" w:lineRule="auto"/>
      </w:pPr>
      <w:r>
        <w:separator/>
      </w:r>
    </w:p>
  </w:endnote>
  <w:endnote w:type="continuationSeparator" w:id="0">
    <w:p w:rsidR="00A843BE" w:rsidRDefault="00A843BE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BE" w:rsidRDefault="00A843BE" w:rsidP="0022537C">
      <w:pPr>
        <w:spacing w:after="0" w:line="240" w:lineRule="auto"/>
      </w:pPr>
      <w:r>
        <w:separator/>
      </w:r>
    </w:p>
  </w:footnote>
  <w:footnote w:type="continuationSeparator" w:id="0">
    <w:p w:rsidR="00A843BE" w:rsidRDefault="00A843BE" w:rsidP="0022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844C6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5611FD"/>
    <w:multiLevelType w:val="hybridMultilevel"/>
    <w:tmpl w:val="B5260D6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47126"/>
    <w:multiLevelType w:val="hybridMultilevel"/>
    <w:tmpl w:val="7E40F2DC"/>
    <w:lvl w:ilvl="0" w:tplc="7E8C2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B237A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F243D"/>
    <w:multiLevelType w:val="hybridMultilevel"/>
    <w:tmpl w:val="EA32381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A23811"/>
    <w:multiLevelType w:val="hybridMultilevel"/>
    <w:tmpl w:val="F376B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A35C2C"/>
    <w:multiLevelType w:val="multilevel"/>
    <w:tmpl w:val="103C2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E0F8C"/>
    <w:multiLevelType w:val="multilevel"/>
    <w:tmpl w:val="1D86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C03460F"/>
    <w:multiLevelType w:val="hybridMultilevel"/>
    <w:tmpl w:val="41EC6ADC"/>
    <w:lvl w:ilvl="0" w:tplc="1564DC4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C5AA9C06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C1DE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E6FEE"/>
    <w:multiLevelType w:val="hybridMultilevel"/>
    <w:tmpl w:val="9006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D64186"/>
    <w:multiLevelType w:val="multilevel"/>
    <w:tmpl w:val="C2E421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CD85EC0"/>
    <w:multiLevelType w:val="hybridMultilevel"/>
    <w:tmpl w:val="7DE41B9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62CD3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769C8"/>
    <w:multiLevelType w:val="hybridMultilevel"/>
    <w:tmpl w:val="B5FAD338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A0E98"/>
    <w:multiLevelType w:val="hybridMultilevel"/>
    <w:tmpl w:val="F6FCC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57109"/>
    <w:multiLevelType w:val="hybridMultilevel"/>
    <w:tmpl w:val="3ADEB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CD3B9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A5772"/>
    <w:multiLevelType w:val="hybridMultilevel"/>
    <w:tmpl w:val="EAD458D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D3836"/>
    <w:multiLevelType w:val="hybridMultilevel"/>
    <w:tmpl w:val="5BA07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6"/>
  </w:num>
  <w:num w:numId="4">
    <w:abstractNumId w:val="8"/>
  </w:num>
  <w:num w:numId="5">
    <w:abstractNumId w:val="24"/>
  </w:num>
  <w:num w:numId="6">
    <w:abstractNumId w:val="34"/>
  </w:num>
  <w:num w:numId="7">
    <w:abstractNumId w:val="23"/>
  </w:num>
  <w:num w:numId="8">
    <w:abstractNumId w:val="17"/>
  </w:num>
  <w:num w:numId="9">
    <w:abstractNumId w:val="19"/>
  </w:num>
  <w:num w:numId="10">
    <w:abstractNumId w:val="20"/>
  </w:num>
  <w:num w:numId="11">
    <w:abstractNumId w:val="7"/>
  </w:num>
  <w:num w:numId="12">
    <w:abstractNumId w:val="36"/>
  </w:num>
  <w:num w:numId="13">
    <w:abstractNumId w:val="9"/>
  </w:num>
  <w:num w:numId="14">
    <w:abstractNumId w:val="31"/>
  </w:num>
  <w:num w:numId="15">
    <w:abstractNumId w:val="22"/>
  </w:num>
  <w:num w:numId="16">
    <w:abstractNumId w:val="0"/>
  </w:num>
  <w:num w:numId="17">
    <w:abstractNumId w:val="30"/>
  </w:num>
  <w:num w:numId="18">
    <w:abstractNumId w:val="28"/>
  </w:num>
  <w:num w:numId="19">
    <w:abstractNumId w:val="18"/>
  </w:num>
  <w:num w:numId="20">
    <w:abstractNumId w:val="12"/>
  </w:num>
  <w:num w:numId="21">
    <w:abstractNumId w:val="14"/>
  </w:num>
  <w:num w:numId="22">
    <w:abstractNumId w:val="10"/>
  </w:num>
  <w:num w:numId="23">
    <w:abstractNumId w:val="25"/>
  </w:num>
  <w:num w:numId="24">
    <w:abstractNumId w:val="15"/>
  </w:num>
  <w:num w:numId="25">
    <w:abstractNumId w:val="3"/>
  </w:num>
  <w:num w:numId="26">
    <w:abstractNumId w:val="27"/>
  </w:num>
  <w:num w:numId="27">
    <w:abstractNumId w:val="6"/>
  </w:num>
  <w:num w:numId="28">
    <w:abstractNumId w:val="21"/>
  </w:num>
  <w:num w:numId="29">
    <w:abstractNumId w:val="4"/>
  </w:num>
  <w:num w:numId="30">
    <w:abstractNumId w:val="32"/>
  </w:num>
  <w:num w:numId="31">
    <w:abstractNumId w:val="33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6"/>
  </w:num>
  <w:num w:numId="35">
    <w:abstractNumId w:val="1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EB9"/>
    <w:rsid w:val="00001D6E"/>
    <w:rsid w:val="0002207C"/>
    <w:rsid w:val="00022D35"/>
    <w:rsid w:val="00050656"/>
    <w:rsid w:val="0005189B"/>
    <w:rsid w:val="00062308"/>
    <w:rsid w:val="000628D8"/>
    <w:rsid w:val="000630B8"/>
    <w:rsid w:val="00077307"/>
    <w:rsid w:val="000801BF"/>
    <w:rsid w:val="0008336E"/>
    <w:rsid w:val="000862E2"/>
    <w:rsid w:val="000A023D"/>
    <w:rsid w:val="000B0488"/>
    <w:rsid w:val="000B08D2"/>
    <w:rsid w:val="000B43DD"/>
    <w:rsid w:val="000B6F67"/>
    <w:rsid w:val="000D3742"/>
    <w:rsid w:val="000D4530"/>
    <w:rsid w:val="000D4736"/>
    <w:rsid w:val="000E56E1"/>
    <w:rsid w:val="00105D53"/>
    <w:rsid w:val="001109FC"/>
    <w:rsid w:val="0011706F"/>
    <w:rsid w:val="00123A61"/>
    <w:rsid w:val="00134DA4"/>
    <w:rsid w:val="00136BB9"/>
    <w:rsid w:val="0014266C"/>
    <w:rsid w:val="001432A3"/>
    <w:rsid w:val="0015745D"/>
    <w:rsid w:val="001624E1"/>
    <w:rsid w:val="001679CB"/>
    <w:rsid w:val="00174D71"/>
    <w:rsid w:val="00176A0A"/>
    <w:rsid w:val="00185325"/>
    <w:rsid w:val="00196C4E"/>
    <w:rsid w:val="001A2433"/>
    <w:rsid w:val="001A5781"/>
    <w:rsid w:val="001A5DEF"/>
    <w:rsid w:val="001C068B"/>
    <w:rsid w:val="001C2411"/>
    <w:rsid w:val="001C2D5D"/>
    <w:rsid w:val="001D1FC7"/>
    <w:rsid w:val="001D22DD"/>
    <w:rsid w:val="001D7000"/>
    <w:rsid w:val="001E62EF"/>
    <w:rsid w:val="001F54A0"/>
    <w:rsid w:val="0021527A"/>
    <w:rsid w:val="0021683A"/>
    <w:rsid w:val="0022407C"/>
    <w:rsid w:val="0022537C"/>
    <w:rsid w:val="0024617E"/>
    <w:rsid w:val="002503F8"/>
    <w:rsid w:val="00250AF7"/>
    <w:rsid w:val="00252CC2"/>
    <w:rsid w:val="00253146"/>
    <w:rsid w:val="0025387D"/>
    <w:rsid w:val="00260C7F"/>
    <w:rsid w:val="00264B05"/>
    <w:rsid w:val="00267693"/>
    <w:rsid w:val="002757EE"/>
    <w:rsid w:val="00283732"/>
    <w:rsid w:val="002845D7"/>
    <w:rsid w:val="00285D75"/>
    <w:rsid w:val="00287AA7"/>
    <w:rsid w:val="00295EC0"/>
    <w:rsid w:val="002971E8"/>
    <w:rsid w:val="002A13E1"/>
    <w:rsid w:val="002B115C"/>
    <w:rsid w:val="002B6269"/>
    <w:rsid w:val="002B6AB4"/>
    <w:rsid w:val="002C6A69"/>
    <w:rsid w:val="002D1953"/>
    <w:rsid w:val="002E78E6"/>
    <w:rsid w:val="002F2A5C"/>
    <w:rsid w:val="003057F2"/>
    <w:rsid w:val="00305E1C"/>
    <w:rsid w:val="0030679F"/>
    <w:rsid w:val="003214B0"/>
    <w:rsid w:val="0032180F"/>
    <w:rsid w:val="00327CFF"/>
    <w:rsid w:val="00334076"/>
    <w:rsid w:val="0034644D"/>
    <w:rsid w:val="00347F4B"/>
    <w:rsid w:val="003606E2"/>
    <w:rsid w:val="00364F24"/>
    <w:rsid w:val="00373D9E"/>
    <w:rsid w:val="00376F41"/>
    <w:rsid w:val="00380901"/>
    <w:rsid w:val="00396DC1"/>
    <w:rsid w:val="00397E3D"/>
    <w:rsid w:val="003A37F2"/>
    <w:rsid w:val="003A554D"/>
    <w:rsid w:val="003B2C25"/>
    <w:rsid w:val="003C650F"/>
    <w:rsid w:val="003D1E1D"/>
    <w:rsid w:val="003E0666"/>
    <w:rsid w:val="003E3AC1"/>
    <w:rsid w:val="003E52FE"/>
    <w:rsid w:val="003E6C72"/>
    <w:rsid w:val="003F42AB"/>
    <w:rsid w:val="00400B4B"/>
    <w:rsid w:val="00404232"/>
    <w:rsid w:val="00413581"/>
    <w:rsid w:val="004139FC"/>
    <w:rsid w:val="00415FCB"/>
    <w:rsid w:val="00430C1D"/>
    <w:rsid w:val="00443117"/>
    <w:rsid w:val="0044585C"/>
    <w:rsid w:val="004539B5"/>
    <w:rsid w:val="00454446"/>
    <w:rsid w:val="00460B3B"/>
    <w:rsid w:val="00475F9B"/>
    <w:rsid w:val="0048450A"/>
    <w:rsid w:val="0048712E"/>
    <w:rsid w:val="00492216"/>
    <w:rsid w:val="004B39C1"/>
    <w:rsid w:val="004D3D19"/>
    <w:rsid w:val="004D5C3C"/>
    <w:rsid w:val="004E2EDA"/>
    <w:rsid w:val="004E3F39"/>
    <w:rsid w:val="004F6764"/>
    <w:rsid w:val="00503947"/>
    <w:rsid w:val="005213BF"/>
    <w:rsid w:val="00527E5F"/>
    <w:rsid w:val="00545F36"/>
    <w:rsid w:val="00547697"/>
    <w:rsid w:val="00551B8A"/>
    <w:rsid w:val="005557B0"/>
    <w:rsid w:val="005618F4"/>
    <w:rsid w:val="00563969"/>
    <w:rsid w:val="005717BE"/>
    <w:rsid w:val="00591842"/>
    <w:rsid w:val="00592CB7"/>
    <w:rsid w:val="005977E6"/>
    <w:rsid w:val="005A0B25"/>
    <w:rsid w:val="005A3102"/>
    <w:rsid w:val="005A3CE4"/>
    <w:rsid w:val="005A4149"/>
    <w:rsid w:val="005A51EF"/>
    <w:rsid w:val="005A74E3"/>
    <w:rsid w:val="005B3BAF"/>
    <w:rsid w:val="005D569F"/>
    <w:rsid w:val="005D6DC8"/>
    <w:rsid w:val="005D766B"/>
    <w:rsid w:val="005E49BA"/>
    <w:rsid w:val="005F20F6"/>
    <w:rsid w:val="00602205"/>
    <w:rsid w:val="00602FB0"/>
    <w:rsid w:val="0060362C"/>
    <w:rsid w:val="00625C53"/>
    <w:rsid w:val="00642045"/>
    <w:rsid w:val="00652BC5"/>
    <w:rsid w:val="006573AA"/>
    <w:rsid w:val="00662CBA"/>
    <w:rsid w:val="00680F01"/>
    <w:rsid w:val="00682503"/>
    <w:rsid w:val="00693716"/>
    <w:rsid w:val="006A0652"/>
    <w:rsid w:val="006A0A88"/>
    <w:rsid w:val="006A20C8"/>
    <w:rsid w:val="006A5433"/>
    <w:rsid w:val="006A69BE"/>
    <w:rsid w:val="006B3E67"/>
    <w:rsid w:val="006C5A4B"/>
    <w:rsid w:val="006C726B"/>
    <w:rsid w:val="006D6EAE"/>
    <w:rsid w:val="006E498C"/>
    <w:rsid w:val="006F0BD4"/>
    <w:rsid w:val="006F46E6"/>
    <w:rsid w:val="007128A2"/>
    <w:rsid w:val="00744DE5"/>
    <w:rsid w:val="007525D2"/>
    <w:rsid w:val="00761E8F"/>
    <w:rsid w:val="00764104"/>
    <w:rsid w:val="007706BB"/>
    <w:rsid w:val="00774454"/>
    <w:rsid w:val="00780CAD"/>
    <w:rsid w:val="00786885"/>
    <w:rsid w:val="0079112E"/>
    <w:rsid w:val="00794D16"/>
    <w:rsid w:val="00796A72"/>
    <w:rsid w:val="00796EEE"/>
    <w:rsid w:val="007A1ACB"/>
    <w:rsid w:val="007A3EDD"/>
    <w:rsid w:val="007B54B1"/>
    <w:rsid w:val="007C5BFB"/>
    <w:rsid w:val="007D6359"/>
    <w:rsid w:val="007E39E7"/>
    <w:rsid w:val="007F20AF"/>
    <w:rsid w:val="007F5218"/>
    <w:rsid w:val="007F7D55"/>
    <w:rsid w:val="00807AC4"/>
    <w:rsid w:val="00815CE0"/>
    <w:rsid w:val="0082062D"/>
    <w:rsid w:val="00832969"/>
    <w:rsid w:val="00836A09"/>
    <w:rsid w:val="00844DD6"/>
    <w:rsid w:val="008503B0"/>
    <w:rsid w:val="008512C0"/>
    <w:rsid w:val="00851C12"/>
    <w:rsid w:val="00851F1B"/>
    <w:rsid w:val="00855DA5"/>
    <w:rsid w:val="00863795"/>
    <w:rsid w:val="008741BC"/>
    <w:rsid w:val="008A330B"/>
    <w:rsid w:val="008B11B8"/>
    <w:rsid w:val="008F4A33"/>
    <w:rsid w:val="008F5F5B"/>
    <w:rsid w:val="0090036D"/>
    <w:rsid w:val="00902222"/>
    <w:rsid w:val="00902668"/>
    <w:rsid w:val="00904AEB"/>
    <w:rsid w:val="00905B83"/>
    <w:rsid w:val="0091222A"/>
    <w:rsid w:val="00927A52"/>
    <w:rsid w:val="00943710"/>
    <w:rsid w:val="00951F42"/>
    <w:rsid w:val="00982E31"/>
    <w:rsid w:val="0098526B"/>
    <w:rsid w:val="00991B6A"/>
    <w:rsid w:val="009B524D"/>
    <w:rsid w:val="009C06FC"/>
    <w:rsid w:val="009C6D81"/>
    <w:rsid w:val="009D7500"/>
    <w:rsid w:val="009E13DC"/>
    <w:rsid w:val="00A026B5"/>
    <w:rsid w:val="00A06756"/>
    <w:rsid w:val="00A12746"/>
    <w:rsid w:val="00A44017"/>
    <w:rsid w:val="00A44755"/>
    <w:rsid w:val="00A54E48"/>
    <w:rsid w:val="00A60B90"/>
    <w:rsid w:val="00A6438E"/>
    <w:rsid w:val="00A75319"/>
    <w:rsid w:val="00A843BE"/>
    <w:rsid w:val="00A864B2"/>
    <w:rsid w:val="00A91F00"/>
    <w:rsid w:val="00AA0A49"/>
    <w:rsid w:val="00AA4893"/>
    <w:rsid w:val="00AB0222"/>
    <w:rsid w:val="00AB63CE"/>
    <w:rsid w:val="00AB6F96"/>
    <w:rsid w:val="00AC3A5F"/>
    <w:rsid w:val="00AD4EBF"/>
    <w:rsid w:val="00AE0B3B"/>
    <w:rsid w:val="00AE294C"/>
    <w:rsid w:val="00AE52DE"/>
    <w:rsid w:val="00AF75ED"/>
    <w:rsid w:val="00B06D2E"/>
    <w:rsid w:val="00B10636"/>
    <w:rsid w:val="00B248A8"/>
    <w:rsid w:val="00B308F6"/>
    <w:rsid w:val="00B41127"/>
    <w:rsid w:val="00B502A9"/>
    <w:rsid w:val="00B5152D"/>
    <w:rsid w:val="00B519E4"/>
    <w:rsid w:val="00B52236"/>
    <w:rsid w:val="00B54841"/>
    <w:rsid w:val="00B81665"/>
    <w:rsid w:val="00B8255E"/>
    <w:rsid w:val="00B94022"/>
    <w:rsid w:val="00B97F87"/>
    <w:rsid w:val="00BA1A21"/>
    <w:rsid w:val="00BB4AC1"/>
    <w:rsid w:val="00BB4FDD"/>
    <w:rsid w:val="00BC1473"/>
    <w:rsid w:val="00BC4C91"/>
    <w:rsid w:val="00BC70B8"/>
    <w:rsid w:val="00BD0544"/>
    <w:rsid w:val="00BD6B7D"/>
    <w:rsid w:val="00BE6A05"/>
    <w:rsid w:val="00BF397D"/>
    <w:rsid w:val="00BF3F93"/>
    <w:rsid w:val="00BF5254"/>
    <w:rsid w:val="00BF7008"/>
    <w:rsid w:val="00C1317B"/>
    <w:rsid w:val="00C13BBA"/>
    <w:rsid w:val="00C20B4E"/>
    <w:rsid w:val="00C20B83"/>
    <w:rsid w:val="00C27397"/>
    <w:rsid w:val="00C61221"/>
    <w:rsid w:val="00C62E21"/>
    <w:rsid w:val="00C72A5E"/>
    <w:rsid w:val="00C80BC3"/>
    <w:rsid w:val="00C8273A"/>
    <w:rsid w:val="00C85869"/>
    <w:rsid w:val="00C957A0"/>
    <w:rsid w:val="00CA32CF"/>
    <w:rsid w:val="00CA6E90"/>
    <w:rsid w:val="00CB27B9"/>
    <w:rsid w:val="00CD0215"/>
    <w:rsid w:val="00D021C9"/>
    <w:rsid w:val="00D03C38"/>
    <w:rsid w:val="00D045B0"/>
    <w:rsid w:val="00D13DC5"/>
    <w:rsid w:val="00D17B2D"/>
    <w:rsid w:val="00D23D4C"/>
    <w:rsid w:val="00D2647C"/>
    <w:rsid w:val="00D31793"/>
    <w:rsid w:val="00D3784D"/>
    <w:rsid w:val="00D41F66"/>
    <w:rsid w:val="00D44FE0"/>
    <w:rsid w:val="00D46D8D"/>
    <w:rsid w:val="00D64E20"/>
    <w:rsid w:val="00D77680"/>
    <w:rsid w:val="00D77F71"/>
    <w:rsid w:val="00D800D3"/>
    <w:rsid w:val="00D85ACE"/>
    <w:rsid w:val="00D87840"/>
    <w:rsid w:val="00D9731A"/>
    <w:rsid w:val="00DB01EC"/>
    <w:rsid w:val="00DC4FD8"/>
    <w:rsid w:val="00DD20F5"/>
    <w:rsid w:val="00DD5EF2"/>
    <w:rsid w:val="00DD6374"/>
    <w:rsid w:val="00DD6768"/>
    <w:rsid w:val="00DE0680"/>
    <w:rsid w:val="00E06A89"/>
    <w:rsid w:val="00E20BC1"/>
    <w:rsid w:val="00E2517F"/>
    <w:rsid w:val="00E322DA"/>
    <w:rsid w:val="00E341B1"/>
    <w:rsid w:val="00E4394D"/>
    <w:rsid w:val="00E472F4"/>
    <w:rsid w:val="00E53399"/>
    <w:rsid w:val="00E55F3F"/>
    <w:rsid w:val="00E63DE7"/>
    <w:rsid w:val="00E73130"/>
    <w:rsid w:val="00E76F6F"/>
    <w:rsid w:val="00E81782"/>
    <w:rsid w:val="00E937BC"/>
    <w:rsid w:val="00E948E9"/>
    <w:rsid w:val="00EB39EC"/>
    <w:rsid w:val="00ED66C0"/>
    <w:rsid w:val="00EE520F"/>
    <w:rsid w:val="00EF11AA"/>
    <w:rsid w:val="00EF5021"/>
    <w:rsid w:val="00F27D4A"/>
    <w:rsid w:val="00F3135F"/>
    <w:rsid w:val="00F34D00"/>
    <w:rsid w:val="00F368A5"/>
    <w:rsid w:val="00F36EB9"/>
    <w:rsid w:val="00F40102"/>
    <w:rsid w:val="00F410A7"/>
    <w:rsid w:val="00F520F3"/>
    <w:rsid w:val="00F5219E"/>
    <w:rsid w:val="00F5238A"/>
    <w:rsid w:val="00F52A96"/>
    <w:rsid w:val="00F625EC"/>
    <w:rsid w:val="00F6379A"/>
    <w:rsid w:val="00F63DD4"/>
    <w:rsid w:val="00F66362"/>
    <w:rsid w:val="00F71938"/>
    <w:rsid w:val="00F83664"/>
    <w:rsid w:val="00F85851"/>
    <w:rsid w:val="00F9277E"/>
    <w:rsid w:val="00FB1D3F"/>
    <w:rsid w:val="00FB7F48"/>
    <w:rsid w:val="00FB7FED"/>
    <w:rsid w:val="00FC369A"/>
    <w:rsid w:val="00FC4A37"/>
    <w:rsid w:val="00FC7E05"/>
    <w:rsid w:val="00FD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A5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E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iPriority w:val="99"/>
    <w:unhideWhenUsed/>
    <w:qFormat/>
    <w:rsid w:val="002253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Znak Znak1"/>
    <w:link w:val="TekstprzypisuZnakZnakZnakZnakZnak1"/>
    <w:uiPriority w:val="99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2537C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1"/>
    <w:uiPriority w:val="99"/>
    <w:unhideWhenUsed/>
    <w:qFormat/>
    <w:rsid w:val="0022537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98526B"/>
    <w:pPr>
      <w:ind w:left="720"/>
      <w:contextualSpacing/>
    </w:pPr>
  </w:style>
  <w:style w:type="paragraph" w:customStyle="1" w:styleId="Default">
    <w:name w:val="Default"/>
    <w:rsid w:val="00D17B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216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2216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FontStyle31">
    <w:name w:val="Font Style31"/>
    <w:uiPriority w:val="99"/>
    <w:rsid w:val="00C80BC3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C80BC3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locked/>
    <w:rsid w:val="004D5C3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64E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64E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022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0220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022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0220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C650F"/>
    <w:rPr>
      <w:color w:val="0563C1"/>
      <w:u w:val="single"/>
    </w:rPr>
  </w:style>
  <w:style w:type="paragraph" w:styleId="NormalnyWeb">
    <w:name w:val="Normal (Web)"/>
    <w:basedOn w:val="Normalny"/>
    <w:uiPriority w:val="99"/>
    <w:rsid w:val="00BF5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A32CF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5A6C-4BDC-4B5E-95D4-9F7DA6BF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Kątna-Ćwikilewicz</dc:creator>
  <cp:lastModifiedBy>Sebastian Chochół</cp:lastModifiedBy>
  <cp:revision>6</cp:revision>
  <cp:lastPrinted>2019-09-23T07:07:00Z</cp:lastPrinted>
  <dcterms:created xsi:type="dcterms:W3CDTF">2020-04-06T12:55:00Z</dcterms:created>
  <dcterms:modified xsi:type="dcterms:W3CDTF">2020-04-06T12:57:00Z</dcterms:modified>
</cp:coreProperties>
</file>