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FD" w:rsidRDefault="009B48D4">
      <w:pPr>
        <w:spacing w:after="0" w:line="36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Załącznik nr 1 do uchwały Komitetu Monitorującego</w:t>
      </w:r>
    </w:p>
    <w:p w:rsidR="00B24BFD" w:rsidRDefault="00B24BFD">
      <w:pPr>
        <w:spacing w:after="0" w:line="360" w:lineRule="auto"/>
        <w:rPr>
          <w:rFonts w:ascii="Arial" w:eastAsia="Arial" w:hAnsi="Arial" w:cs="Arial"/>
          <w:sz w:val="18"/>
        </w:rPr>
      </w:pPr>
    </w:p>
    <w:p w:rsidR="00B24BFD" w:rsidRDefault="009B48D4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Lista kryteriów w stosunku do których akceptuje się zastosowanie odstępstwa od obowiązku ich spełnienia, </w:t>
      </w:r>
      <w:r>
        <w:rPr>
          <w:rFonts w:ascii="Arial" w:eastAsia="Arial" w:hAnsi="Arial" w:cs="Arial"/>
          <w:sz w:val="18"/>
        </w:rPr>
        <w:br/>
      </w:r>
      <w:bookmarkStart w:id="0" w:name="_GoBack"/>
      <w:bookmarkEnd w:id="0"/>
      <w:r>
        <w:rPr>
          <w:rFonts w:ascii="Arial" w:eastAsia="Arial" w:hAnsi="Arial" w:cs="Arial"/>
          <w:sz w:val="18"/>
          <w:shd w:val="clear" w:color="auto" w:fill="FFFFFF"/>
        </w:rPr>
        <w:t>w celu ograniczenia negatywnego wpływu wystąpienia COVID-19 na realizację projektów:</w:t>
      </w:r>
    </w:p>
    <w:p w:rsidR="00B24BFD" w:rsidRDefault="00B24BFD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:rsidR="00B24BFD" w:rsidRDefault="009B48D4">
      <w:pPr>
        <w:spacing w:after="0" w:line="360" w:lineRule="auto"/>
        <w:jc w:val="both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- </w:t>
      </w: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 xml:space="preserve">nabór nr RPMA.09.02.01-IP.01-14-050/17 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- kryterium formalne nr 6 - zgodność z Regulaminem konkursu oraz </w:t>
      </w:r>
      <w:proofErr w:type="spell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SzOOP</w:t>
      </w:r>
      <w:proofErr w:type="spellEnd"/>
      <w:r>
        <w:rPr>
          <w:rFonts w:ascii="Arial" w:eastAsia="Arial" w:hAnsi="Arial" w:cs="Arial"/>
          <w:color w:val="000000"/>
          <w:sz w:val="18"/>
          <w:shd w:val="clear" w:color="auto" w:fill="FFFFFF"/>
        </w:rPr>
        <w:t>, kryterium formalne nr 15 - roczny łączny obrót Wnioskodawcy i partnerów w stosunku do wartości projektu, kryterium dostępu nr 1 - maksymalny okre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s realizacji projektu, kryterium dostępu nr 2 - średni koszt wsparcia na uczestnika,</w:t>
      </w:r>
    </w:p>
    <w:p w:rsidR="00B24BFD" w:rsidRDefault="009B48D4">
      <w:pPr>
        <w:spacing w:after="0" w:line="360" w:lineRule="auto"/>
        <w:jc w:val="both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- </w:t>
      </w: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 xml:space="preserve">nabór nr RPMA.09.02.01-IP.01-14-053/17 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- kryterium formalne nr 6 - zgodność z Regulaminem konkursu oraz </w:t>
      </w:r>
      <w:proofErr w:type="spell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SzOOP</w:t>
      </w:r>
      <w:proofErr w:type="spellEnd"/>
      <w:r>
        <w:rPr>
          <w:rFonts w:ascii="Arial" w:eastAsia="Arial" w:hAnsi="Arial" w:cs="Arial"/>
          <w:color w:val="000000"/>
          <w:sz w:val="18"/>
          <w:shd w:val="clear" w:color="auto" w:fill="FFFFFF"/>
        </w:rPr>
        <w:t>, kryterium formalne nr 15 - roczny łączny obrót Wnioskodawc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y i partnerów w stosunku do wartości projektu, kryterium dostępu nr 2 - maksymalny okres realizacji projektu, kryterium dostępu nr 4 - średni koszt wsparcia na uczestnika, </w:t>
      </w:r>
    </w:p>
    <w:p w:rsidR="00B24BFD" w:rsidRDefault="009B48D4">
      <w:pPr>
        <w:spacing w:after="0" w:line="360" w:lineRule="auto"/>
        <w:jc w:val="both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- </w:t>
      </w: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 xml:space="preserve">nabór nr RPMA.09.02.01-IP.01-14-062/17 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- kryterium formalne z możliwością poprawi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enia nr 3 - roczny łączny obrót Wnioskodawcy i partnerów w stosunku do wartości projektu, kryterium formalne bez możliwości poprawienia nr 4 - zgodność z Regulaminem konkursu oraz </w:t>
      </w:r>
      <w:proofErr w:type="spell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SzOOP</w:t>
      </w:r>
      <w:proofErr w:type="spellEnd"/>
      <w:r>
        <w:rPr>
          <w:rFonts w:ascii="Arial" w:eastAsia="Arial" w:hAnsi="Arial" w:cs="Arial"/>
          <w:color w:val="000000"/>
          <w:sz w:val="18"/>
          <w:shd w:val="clear" w:color="auto" w:fill="FFFFFF"/>
        </w:rPr>
        <w:t>, kryterium dostępu nr 1 - maksymalny okres realizacji projektu, kryter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ium dostępu nr 8 - średni koszt wsparcia na uczestnika, kryterium dostępu nr 9 - średni koszt wsparcia na uczestnika,</w:t>
      </w:r>
    </w:p>
    <w:p w:rsidR="00B24BFD" w:rsidRDefault="009B48D4">
      <w:pPr>
        <w:spacing w:after="0" w:line="360" w:lineRule="auto"/>
        <w:jc w:val="both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- </w:t>
      </w: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 xml:space="preserve">nabór nr RPMA.09.02.01-IP.01-14-066/18 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- kryterium formalne z możliwością poprawienia nr 3 - roczny łączny obrót Wnioskodawcy i partner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ów w stosunku do wartości projektu, kryterium formalne bez możliwości poprawienia nr 4 - zgodność z Regulaminem konkursu oraz </w:t>
      </w:r>
      <w:proofErr w:type="spell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SzOOP</w:t>
      </w:r>
      <w:proofErr w:type="spellEnd"/>
      <w:r>
        <w:rPr>
          <w:rFonts w:ascii="Arial" w:eastAsia="Arial" w:hAnsi="Arial" w:cs="Arial"/>
          <w:color w:val="000000"/>
          <w:sz w:val="18"/>
          <w:shd w:val="clear" w:color="auto" w:fill="FFFFFF"/>
        </w:rPr>
        <w:t>, kryterium dostępu nr 1 - maksymalny okres realizacji projektu, kryterium dostępu nr 4 - średni koszt wsparcia na uczestnika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,</w:t>
      </w:r>
    </w:p>
    <w:p w:rsidR="00B24BFD" w:rsidRDefault="009B48D4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- </w:t>
      </w:r>
      <w:r>
        <w:rPr>
          <w:rFonts w:ascii="Arial" w:eastAsia="Arial" w:hAnsi="Arial" w:cs="Arial"/>
          <w:b/>
          <w:color w:val="000000"/>
          <w:sz w:val="18"/>
          <w:shd w:val="clear" w:color="auto" w:fill="FFFFFF"/>
        </w:rPr>
        <w:t xml:space="preserve">nabór nr RPMA.09.02.01-IP.01-14-081/19 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- kryterium formalne z możliwością poprawienia nr 3 - roczny łączny obrót Wnioskodawcy i partnerów w stosunku do wartości projektu, kryterium formalne bez możliwości poprawienia nr 4 - zgodność z Regulaminem konku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rsu oraz </w:t>
      </w:r>
      <w:proofErr w:type="spell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SzOOP</w:t>
      </w:r>
      <w:proofErr w:type="spellEnd"/>
      <w:r>
        <w:rPr>
          <w:rFonts w:ascii="Arial" w:eastAsia="Arial" w:hAnsi="Arial" w:cs="Arial"/>
          <w:color w:val="000000"/>
          <w:sz w:val="18"/>
          <w:shd w:val="clear" w:color="auto" w:fill="FFFFFF"/>
        </w:rPr>
        <w:t>, kryterium dostępu nr 5 - średni koszt wsparcia na uczestnika, kryterium dostępu nr 1 - maksymalny okres realizacji projektu, kryterium merytoryczne ogólne nr 4 - trafność analizy ryzyka dla projektów o wartości pow. 2 mln PLN dofinansowania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.</w:t>
      </w:r>
    </w:p>
    <w:sectPr w:rsidR="00B24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FD"/>
    <w:rsid w:val="009B48D4"/>
    <w:rsid w:val="00B2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B31D"/>
  <w15:docId w15:val="{D7C8170E-6199-4062-9460-55BB400A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4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Chudoń-Mich</dc:creator>
  <cp:lastModifiedBy>Monika Chudoń-Mich</cp:lastModifiedBy>
  <cp:revision>3</cp:revision>
  <cp:lastPrinted>2020-05-21T08:21:00Z</cp:lastPrinted>
  <dcterms:created xsi:type="dcterms:W3CDTF">2020-05-21T08:22:00Z</dcterms:created>
  <dcterms:modified xsi:type="dcterms:W3CDTF">2020-05-21T08:22:00Z</dcterms:modified>
</cp:coreProperties>
</file>