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4" w:rsidRDefault="00F05F7C" w:rsidP="00E05AA9">
      <w:pPr>
        <w:pStyle w:val="Nagwek1"/>
      </w:pPr>
      <w:r>
        <w:rPr>
          <w:noProof/>
        </w:rPr>
        <w:drawing>
          <wp:anchor distT="0" distB="0" distL="114300" distR="114300" simplePos="0" relativeHeight="251648000" behindDoc="1" locked="0" layoutInCell="1" allowOverlap="1">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rsidR="00D81894" w:rsidRPr="00301D48" w:rsidRDefault="00D81894" w:rsidP="00D81894">
      <w:pPr>
        <w:spacing w:after="0" w:line="240" w:lineRule="auto"/>
        <w:rPr>
          <w:b/>
          <w:color w:val="000000"/>
          <w:sz w:val="28"/>
          <w:szCs w:val="28"/>
        </w:rPr>
      </w:pPr>
    </w:p>
    <w:p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rsidR="00595AC0" w:rsidRPr="00F81477" w:rsidRDefault="00595AC0" w:rsidP="004F72AE">
      <w:pPr>
        <w:spacing w:after="0"/>
        <w:jc w:val="center"/>
        <w:rPr>
          <w:rFonts w:cs="Arial"/>
          <w:b/>
          <w:color w:val="000000"/>
          <w:sz w:val="28"/>
          <w:szCs w:val="28"/>
        </w:rPr>
      </w:pPr>
    </w:p>
    <w:p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rsidR="00595AC0" w:rsidRPr="00F81477" w:rsidRDefault="00595AC0" w:rsidP="00B04904">
      <w:pPr>
        <w:spacing w:after="0"/>
        <w:rPr>
          <w:rFonts w:cs="Arial"/>
          <w:b/>
          <w:bCs/>
          <w:iCs/>
          <w:color w:val="000000"/>
          <w:sz w:val="28"/>
          <w:szCs w:val="28"/>
        </w:rPr>
      </w:pPr>
    </w:p>
    <w:p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rsidR="00612007" w:rsidRDefault="00612007" w:rsidP="00612007">
      <w:pPr>
        <w:spacing w:after="0"/>
        <w:jc w:val="center"/>
        <w:rPr>
          <w:rFonts w:cs="Arial"/>
          <w:b/>
          <w:bCs/>
          <w:color w:val="000000"/>
          <w:sz w:val="32"/>
          <w:szCs w:val="32"/>
        </w:rPr>
      </w:pPr>
    </w:p>
    <w:p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rsidR="004F3BF4" w:rsidRDefault="004F3BF4" w:rsidP="00555634">
      <w:pPr>
        <w:keepNext/>
        <w:spacing w:after="360"/>
        <w:jc w:val="center"/>
        <w:rPr>
          <w:rFonts w:cs="Arial"/>
          <w:b/>
          <w:color w:val="000000"/>
          <w:sz w:val="32"/>
          <w:szCs w:val="32"/>
        </w:rPr>
      </w:pPr>
    </w:p>
    <w:p w:rsidR="00B04904" w:rsidRPr="00F81477" w:rsidRDefault="00B04904" w:rsidP="00555634">
      <w:pPr>
        <w:keepNext/>
        <w:spacing w:after="360"/>
        <w:jc w:val="center"/>
        <w:rPr>
          <w:rFonts w:cs="Arial"/>
          <w:b/>
          <w:color w:val="000000"/>
          <w:sz w:val="32"/>
          <w:szCs w:val="32"/>
        </w:rPr>
      </w:pPr>
    </w:p>
    <w:p w:rsidR="00E23B14" w:rsidRPr="00E23B14" w:rsidRDefault="001B104E" w:rsidP="00E23B14">
      <w:pPr>
        <w:spacing w:after="0"/>
        <w:jc w:val="center"/>
        <w:rPr>
          <w:rFonts w:cs="Arial"/>
          <w:color w:val="000000"/>
        </w:rPr>
      </w:pPr>
      <w:r>
        <w:rPr>
          <w:rFonts w:cs="Arial"/>
          <w:color w:val="000000"/>
        </w:rPr>
        <w:t>Wersja 1.2</w:t>
      </w:r>
      <w:r w:rsidR="00E23B14" w:rsidRPr="00E23B14">
        <w:rPr>
          <w:rFonts w:cs="Arial"/>
          <w:color w:val="000000"/>
        </w:rPr>
        <w:t xml:space="preserve"> z dnia</w:t>
      </w:r>
      <w:r w:rsidR="00E23B14">
        <w:rPr>
          <w:rFonts w:cs="Arial"/>
          <w:color w:val="000000"/>
        </w:rPr>
        <w:t xml:space="preserve"> 7 kwietnia</w:t>
      </w:r>
      <w:r w:rsidR="00E23B14" w:rsidRPr="00E23B14">
        <w:rPr>
          <w:rFonts w:cs="Arial"/>
          <w:color w:val="000000"/>
        </w:rPr>
        <w:t xml:space="preserve"> 2020 r.</w:t>
      </w:r>
    </w:p>
    <w:p w:rsidR="00E23B14" w:rsidRPr="00E23B14" w:rsidRDefault="00E23B14" w:rsidP="00E23B14">
      <w:pPr>
        <w:spacing w:after="0"/>
        <w:jc w:val="center"/>
        <w:rPr>
          <w:rFonts w:cs="Arial"/>
          <w:color w:val="000000"/>
          <w:sz w:val="18"/>
          <w:szCs w:val="18"/>
        </w:rPr>
      </w:pPr>
      <w:r w:rsidRPr="00E23B14">
        <w:rPr>
          <w:rFonts w:cs="Arial"/>
          <w:color w:val="000000"/>
          <w:sz w:val="18"/>
          <w:szCs w:val="18"/>
        </w:rPr>
        <w:t>(z</w:t>
      </w:r>
      <w:r>
        <w:rPr>
          <w:rFonts w:cs="Arial"/>
          <w:color w:val="000000"/>
          <w:sz w:val="18"/>
          <w:szCs w:val="18"/>
        </w:rPr>
        <w:t>miany</w:t>
      </w:r>
      <w:r w:rsidRPr="00E23B14">
        <w:rPr>
          <w:rFonts w:cs="Arial"/>
          <w:color w:val="000000"/>
          <w:sz w:val="18"/>
          <w:szCs w:val="18"/>
        </w:rPr>
        <w:t xml:space="preserve"> obowiązują od momentu podjęcia decyzji przez Zarząd Województwa Mazowieckiego)</w:t>
      </w:r>
    </w:p>
    <w:p w:rsidR="00E23B14" w:rsidRPr="00E23B14" w:rsidRDefault="00E23B14" w:rsidP="00E23B14">
      <w:pPr>
        <w:spacing w:after="0"/>
        <w:jc w:val="center"/>
        <w:rPr>
          <w:rFonts w:cs="Arial"/>
          <w:b/>
          <w:color w:val="000000"/>
          <w:sz w:val="18"/>
          <w:szCs w:val="18"/>
        </w:rPr>
      </w:pPr>
    </w:p>
    <w:p w:rsidR="00F64B65" w:rsidRPr="00F81477" w:rsidRDefault="00F05F7C" w:rsidP="00E23B14">
      <w:pPr>
        <w:keepNext/>
        <w:spacing w:after="600"/>
        <w:rPr>
          <w:rFonts w:cs="Arial"/>
          <w:color w:val="000000"/>
        </w:rPr>
      </w:pPr>
      <w:r w:rsidRPr="00F81477">
        <w:rPr>
          <w:rFonts w:cs="Arial"/>
          <w:noProof/>
          <w:color w:val="000000"/>
        </w:rPr>
        <w:drawing>
          <wp:anchor distT="0" distB="0" distL="114300" distR="114300" simplePos="0" relativeHeight="251667456" behindDoc="0" locked="0" layoutInCell="1" allowOverlap="1">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rsidR="008A18CD" w:rsidRPr="00F81477" w:rsidRDefault="008A18CD" w:rsidP="00B61781">
      <w:pPr>
        <w:pStyle w:val="Nagwekspisutreci"/>
        <w:rPr>
          <w:rFonts w:ascii="Calibri" w:hAnsi="Calibri" w:cs="Arial"/>
          <w:b w:val="0"/>
          <w:color w:val="000000"/>
          <w:sz w:val="32"/>
          <w:szCs w:val="32"/>
        </w:rPr>
      </w:pPr>
    </w:p>
    <w:p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rsidR="00C70906" w:rsidRPr="002662A4" w:rsidRDefault="00C70906" w:rsidP="00301D48">
      <w:pPr>
        <w:keepNext/>
        <w:rPr>
          <w:rFonts w:cs="Arial"/>
          <w:b/>
          <w:color w:val="000000"/>
          <w:sz w:val="20"/>
          <w:szCs w:val="20"/>
        </w:rPr>
      </w:pPr>
    </w:p>
    <w:p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rsidR="006331E3" w:rsidRPr="00F81477" w:rsidRDefault="00E647C2"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rsidR="00694E46" w:rsidRPr="00F81477" w:rsidRDefault="00FB6E0B" w:rsidP="00301D48">
      <w:pPr>
        <w:keepNext/>
        <w:rPr>
          <w:color w:val="000000"/>
        </w:rPr>
      </w:pPr>
      <w:r w:rsidRPr="00F81477">
        <w:rPr>
          <w:rFonts w:cs="Arial"/>
          <w:color w:val="000000"/>
          <w:sz w:val="20"/>
          <w:szCs w:val="20"/>
        </w:rPr>
        <w:fldChar w:fldCharType="end"/>
      </w:r>
    </w:p>
    <w:p w:rsidR="00FD1FFB" w:rsidRPr="00F81477" w:rsidRDefault="00FD1FFB" w:rsidP="0062546A">
      <w:pPr>
        <w:spacing w:after="240"/>
        <w:rPr>
          <w:rFonts w:cs="Arial"/>
          <w:color w:val="000000"/>
        </w:rPr>
      </w:pPr>
    </w:p>
    <w:p w:rsidR="00442DC2" w:rsidRPr="00F81477" w:rsidRDefault="00442DC2" w:rsidP="0062546A">
      <w:pPr>
        <w:spacing w:after="240"/>
        <w:rPr>
          <w:rFonts w:cs="Arial"/>
          <w:color w:val="000000"/>
        </w:rPr>
      </w:pPr>
    </w:p>
    <w:p w:rsidR="00621D3D" w:rsidRPr="00F81477" w:rsidRDefault="00621D3D" w:rsidP="00EB1757">
      <w:pPr>
        <w:spacing w:after="240" w:line="360" w:lineRule="auto"/>
        <w:rPr>
          <w:rFonts w:cs="Arial"/>
          <w:color w:val="000000"/>
        </w:rPr>
      </w:pPr>
    </w:p>
    <w:p w:rsidR="00621D3D" w:rsidRPr="00F81477" w:rsidRDefault="00621D3D" w:rsidP="00EB1757">
      <w:pPr>
        <w:spacing w:after="240" w:line="360" w:lineRule="auto"/>
        <w:rPr>
          <w:rFonts w:cs="Arial"/>
          <w:color w:val="000000"/>
        </w:rPr>
      </w:pPr>
    </w:p>
    <w:p w:rsidR="00A96A06" w:rsidRPr="00F81477" w:rsidRDefault="00A96A06" w:rsidP="005942E1">
      <w:pPr>
        <w:tabs>
          <w:tab w:val="left" w:pos="1590"/>
        </w:tabs>
        <w:spacing w:after="0" w:line="360" w:lineRule="auto"/>
        <w:rPr>
          <w:rFonts w:cs="Arial"/>
          <w:color w:val="000000"/>
        </w:rPr>
      </w:pPr>
    </w:p>
    <w:p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rsidTr="00255444">
        <w:trPr>
          <w:trHeight w:val="110"/>
        </w:trPr>
        <w:tc>
          <w:tcPr>
            <w:tcW w:w="4654" w:type="dxa"/>
          </w:tcPr>
          <w:p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późn. zm.</w:t>
            </w:r>
            <w:r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rsidTr="00255444">
        <w:trPr>
          <w:trHeight w:val="110"/>
        </w:trPr>
        <w:tc>
          <w:tcPr>
            <w:tcW w:w="4654" w:type="dxa"/>
          </w:tcPr>
          <w:p w:rsidR="00495505" w:rsidRPr="002662A4" w:rsidRDefault="00570C3F"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MFiPR</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Pzp</w:t>
            </w:r>
          </w:p>
        </w:tc>
        <w:tc>
          <w:tcPr>
            <w:tcW w:w="5093" w:type="dxa"/>
          </w:tcPr>
          <w:p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z późn. zm.</w:t>
            </w:r>
            <w:r w:rsidR="00AD6A69"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z późn. zm.)</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rsidR="00AD1BA6" w:rsidRPr="002662A4" w:rsidRDefault="00AD1BA6" w:rsidP="002B6855">
      <w:pPr>
        <w:tabs>
          <w:tab w:val="left" w:pos="1590"/>
        </w:tabs>
        <w:spacing w:before="120" w:after="120" w:line="360" w:lineRule="auto"/>
        <w:rPr>
          <w:rFonts w:cs="Arial"/>
          <w:color w:val="000000"/>
          <w:sz w:val="20"/>
          <w:szCs w:val="20"/>
        </w:rPr>
      </w:pPr>
    </w:p>
    <w:p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minimis</w:t>
      </w:r>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 xml:space="preserve">Komisji Europejskiej. Pułap pomocy de minimis brutto wynosi </w:t>
      </w:r>
      <w:r w:rsidRPr="002662A4">
        <w:rPr>
          <w:rFonts w:cs="Calibri"/>
          <w:color w:val="000000"/>
          <w:sz w:val="20"/>
          <w:szCs w:val="20"/>
        </w:rPr>
        <w:lastRenderedPageBreak/>
        <w:t>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EUR, pod warunkiem zapewnienia 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minimis reguluje </w:t>
      </w:r>
      <w:r w:rsidR="00007840" w:rsidRPr="002662A4">
        <w:rPr>
          <w:rFonts w:cs="Arial"/>
          <w:color w:val="000000"/>
          <w:sz w:val="20"/>
          <w:szCs w:val="20"/>
        </w:rPr>
        <w:t>r</w:t>
      </w:r>
      <w:r w:rsidRPr="002662A4">
        <w:rPr>
          <w:rFonts w:cs="Arial"/>
          <w:color w:val="000000"/>
          <w:sz w:val="20"/>
          <w:szCs w:val="20"/>
        </w:rPr>
        <w:t>ozporządzenie Ministra Infrastruktury i Rozwoju z dnia 19 marca 2015 r. w sprawie udzielania pomocy de minimis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poz. 488). Pomoc de minimis nie </w:t>
      </w:r>
      <w:r w:rsidR="000B185A">
        <w:rPr>
          <w:rFonts w:cs="Arial"/>
          <w:color w:val="000000"/>
          <w:sz w:val="20"/>
          <w:szCs w:val="20"/>
        </w:rPr>
        <w:t>stanowi pomocy publicznej</w:t>
      </w:r>
      <w:r w:rsidR="008C6363">
        <w:rPr>
          <w:rFonts w:cs="Arial"/>
          <w:color w:val="000000"/>
          <w:sz w:val="20"/>
          <w:szCs w:val="20"/>
        </w:rPr>
        <w:t>.</w:t>
      </w:r>
    </w:p>
    <w:p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Dopuszczalny limit pomocy de minimis jest określany w oparciu o definic</w:t>
      </w:r>
      <w:r w:rsidR="007E3798" w:rsidRPr="002662A4">
        <w:rPr>
          <w:rFonts w:cs="Arial"/>
          <w:bCs/>
          <w:sz w:val="20"/>
          <w:szCs w:val="20"/>
        </w:rPr>
        <w:t>ję „jednego przedsiębiorstwa” w </w:t>
      </w:r>
      <w:r w:rsidRPr="002662A4">
        <w:rPr>
          <w:rFonts w:cs="Arial"/>
          <w:bCs/>
          <w:sz w:val="20"/>
          <w:szCs w:val="20"/>
        </w:rPr>
        <w:t>rozumieniu art. 2 ust. 2 Rozporządzenia Komisji (UE) nr 1407/2013 z dnia 18 grudnia 2013 r. w sprawie stosowania art. 107 i 108 Traktatu o funkcjonowaniu Unii Europejskiej do pomocy de minimis (Dz. U. UE L 352 z 24.12.2013, s. 1). Weryfikacja dostępnej wartości pomocy de minimis następuje na etapie poprzedzającym po</w:t>
      </w:r>
      <w:r w:rsidR="003D0D9D" w:rsidRPr="002662A4">
        <w:rPr>
          <w:rFonts w:cs="Arial"/>
          <w:bCs/>
          <w:sz w:val="20"/>
          <w:szCs w:val="20"/>
        </w:rPr>
        <w:t>dpisanie umowy o dofinansowanie;</w:t>
      </w:r>
    </w:p>
    <w:p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lastRenderedPageBreak/>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i Rybackiego oraz uchylające rozporządzenie Rady (WE) nr 1083/2006 (Dz. Urz. UE L 347 z 20.12.2013, str. 320, z późn. zm.);</w:t>
      </w:r>
    </w:p>
    <w:p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z późn. zm.</w:t>
      </w:r>
      <w:r w:rsidR="001579CC" w:rsidRPr="00E44300">
        <w:rPr>
          <w:rFonts w:cs="Arial"/>
          <w:color w:val="000000"/>
          <w:sz w:val="20"/>
          <w:szCs w:val="20"/>
        </w:rPr>
        <w:t>)</w:t>
      </w:r>
      <w:r w:rsidR="00347BCE" w:rsidRPr="00E44300">
        <w:rPr>
          <w:rFonts w:cs="Arial"/>
          <w:color w:val="000000"/>
          <w:sz w:val="20"/>
          <w:szCs w:val="20"/>
        </w:rPr>
        <w:t>;</w:t>
      </w:r>
    </w:p>
    <w:p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umowa odpłatna, zawarta zgodnie z warunkami wynikającymi z Pzp albo z warunkami umowy o dofinansowanie projektu zawarta pomiędzy zamawiającym a wykonawcą, której przedmiotem są usługi, dostawy lub roboty budowlane przewidziane w projekcie realizowanym w ramach PO.</w:t>
      </w:r>
    </w:p>
    <w:p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0"/>
    </w:p>
    <w:p w:rsidR="00E0769E" w:rsidRPr="002662A4" w:rsidRDefault="00E0769E" w:rsidP="00282B05">
      <w:pPr>
        <w:keepNext/>
        <w:rPr>
          <w:color w:val="000000"/>
          <w:sz w:val="20"/>
          <w:szCs w:val="20"/>
        </w:rPr>
      </w:pPr>
    </w:p>
    <w:p w:rsidR="00713F98" w:rsidRPr="002662A4" w:rsidRDefault="00713F98" w:rsidP="00282B05">
      <w:pPr>
        <w:pStyle w:val="Nagwek2"/>
        <w:keepNext/>
        <w:rPr>
          <w:rFonts w:ascii="Calibri" w:hAnsi="Calibri"/>
          <w:color w:val="000000"/>
          <w:sz w:val="20"/>
          <w:szCs w:val="20"/>
        </w:rPr>
      </w:pPr>
    </w:p>
    <w:p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 xml:space="preserve">12 ostatnich kursów księgowych. W </w:t>
      </w:r>
      <w:r w:rsidRPr="009B76F8">
        <w:rPr>
          <w:rFonts w:cs="Arial"/>
          <w:color w:val="000000"/>
          <w:sz w:val="20"/>
          <w:szCs w:val="20"/>
        </w:rPr>
        <w:lastRenderedPageBreak/>
        <w:t>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z późn.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7E092F">
        <w:rPr>
          <w:rFonts w:cs="Arial"/>
          <w:sz w:val="20"/>
          <w:szCs w:val="20"/>
        </w:rPr>
        <w:t>styczeń 2021</w:t>
      </w:r>
      <w:r w:rsidR="00883AA2" w:rsidRPr="00994E57">
        <w:rPr>
          <w:rFonts w:cs="Arial"/>
          <w:sz w:val="20"/>
          <w:szCs w:val="20"/>
        </w:rPr>
        <w:t xml:space="preserve"> roku.</w:t>
      </w:r>
    </w:p>
    <w:p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lastRenderedPageBreak/>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drawing>
          <wp:anchor distT="0" distB="0" distL="114300" distR="114300" simplePos="0" relativeHeight="251649024" behindDoc="1" locked="0" layoutInCell="1" allowOverlap="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F9270A" w:rsidRPr="00F81477" w:rsidRDefault="00F9270A" w:rsidP="00282B05">
      <w:pPr>
        <w:pStyle w:val="Nagwek1"/>
        <w:keepNext/>
        <w:jc w:val="center"/>
        <w:rPr>
          <w:rFonts w:ascii="Calibri" w:hAnsi="Calibri" w:cs="Arial"/>
          <w:color w:val="000000"/>
        </w:rPr>
      </w:pPr>
      <w:bookmarkStart w:id="1" w:name="_Toc441656548"/>
      <w:r w:rsidRPr="00F81477">
        <w:rPr>
          <w:rFonts w:ascii="Calibri" w:hAnsi="Calibri" w:cs="Arial"/>
          <w:color w:val="000000"/>
        </w:rPr>
        <w:t>2.</w:t>
      </w:r>
    </w:p>
    <w:p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1"/>
    </w:p>
    <w:p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miesiacach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lastRenderedPageBreak/>
        <w:t>I</w:t>
      </w:r>
      <w:r w:rsidRPr="00F47E37">
        <w:rPr>
          <w:rFonts w:cs="Calibri"/>
          <w:color w:val="000000"/>
          <w:sz w:val="20"/>
          <w:szCs w:val="20"/>
        </w:rPr>
        <w:t xml:space="preserve">stnieje obowiązek instalacji termostatów i zaworów podpionowych,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r. ustanawiającej ogólne zasady ustalania wymogów dotyczących ekoprojektu dla</w:t>
      </w:r>
      <w:r>
        <w:rPr>
          <w:rFonts w:cs="Calibri"/>
          <w:color w:val="000000"/>
          <w:sz w:val="20"/>
          <w:szCs w:val="20"/>
        </w:rPr>
        <w:t xml:space="preserve"> produktów związanych z energią.</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w:t>
      </w:r>
      <w:r w:rsidRPr="00F47E37">
        <w:rPr>
          <w:rFonts w:cs="Calibri"/>
          <w:color w:val="000000"/>
          <w:sz w:val="20"/>
          <w:szCs w:val="20"/>
        </w:rPr>
        <w:lastRenderedPageBreak/>
        <w:t xml:space="preserve">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w:t>
      </w:r>
      <w:r>
        <w:rPr>
          <w:rFonts w:cs="Calibri"/>
          <w:color w:val="000000"/>
          <w:sz w:val="20"/>
          <w:szCs w:val="20"/>
        </w:rPr>
        <w:t xml:space="preserve"> w okresie realizacji projektu.</w:t>
      </w:r>
      <w:r w:rsidR="00F05F7C" w:rsidRPr="00F05F7C">
        <w:rPr>
          <w:rFonts w:cs="Calibri"/>
          <w:sz w:val="20"/>
          <w:szCs w:val="20"/>
        </w:rPr>
        <w:t>Uwaga: Jeżeli nie dotyczy, kryt</w:t>
      </w:r>
      <w:r w:rsidR="00EA319A">
        <w:rPr>
          <w:rFonts w:cs="Calibri"/>
          <w:sz w:val="20"/>
          <w:szCs w:val="20"/>
        </w:rPr>
        <w:t>erium uznaje się za spełnione.</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r w:rsidRPr="00F47E37">
        <w:rPr>
          <w:rFonts w:cs="Calibri"/>
          <w:color w:val="000000"/>
          <w:sz w:val="20"/>
          <w:szCs w:val="20"/>
        </w:rPr>
        <w:t xml:space="preserve">termomomedrnizowanych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pozaleczniczą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Metodologia dotycząca oceny kryterium merytorycznego-szczegółowego „Stopień poprawy efektywności energetycznej (w%)”:</w:t>
      </w:r>
    </w:p>
    <w:p w:rsidR="00787C2C" w:rsidRPr="00501BF4" w:rsidRDefault="00787C2C" w:rsidP="00787C2C">
      <w:pPr>
        <w:ind w:left="1418"/>
        <w:rPr>
          <w:rFonts w:cs="Calibri"/>
          <w:sz w:val="20"/>
          <w:szCs w:val="20"/>
        </w:rPr>
      </w:pPr>
      <w:r w:rsidRPr="00501BF4">
        <w:rPr>
          <w:rFonts w:cs="Calibri"/>
          <w:sz w:val="20"/>
          <w:szCs w:val="20"/>
        </w:rPr>
        <w:t>Kryterium:</w:t>
      </w:r>
    </w:p>
    <w:p w:rsidR="00787C2C" w:rsidRDefault="00787C2C" w:rsidP="00787C2C">
      <w:pPr>
        <w:ind w:left="1418"/>
        <w:rPr>
          <w:rFonts w:cs="Calibri"/>
          <w:sz w:val="20"/>
          <w:szCs w:val="20"/>
        </w:rPr>
      </w:pPr>
      <w:r w:rsidRPr="00501BF4">
        <w:rPr>
          <w:rFonts w:cs="Calibri"/>
          <w:sz w:val="20"/>
          <w:szCs w:val="20"/>
        </w:rPr>
        <w:t>Stopień poprawy efektywności energetycznej (w %)</w:t>
      </w:r>
    </w:p>
    <w:p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rsidR="00787C2C" w:rsidRDefault="00787C2C" w:rsidP="00787C2C">
      <w:pPr>
        <w:spacing w:after="0"/>
        <w:ind w:left="1418"/>
        <w:jc w:val="both"/>
        <w:rPr>
          <w:rFonts w:cs="Calibri"/>
          <w:color w:val="000000"/>
          <w:sz w:val="20"/>
          <w:szCs w:val="20"/>
        </w:rPr>
      </w:pP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lastRenderedPageBreak/>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p>
    <w:p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rsidR="00787C2C" w:rsidRPr="00501BF4" w:rsidRDefault="00787C2C" w:rsidP="00787C2C">
      <w:pPr>
        <w:spacing w:after="0"/>
        <w:ind w:left="993" w:firstLine="709"/>
        <w:rPr>
          <w:rFonts w:cs="Calibri"/>
          <w:color w:val="000000"/>
          <w:sz w:val="20"/>
          <w:szCs w:val="20"/>
        </w:rPr>
      </w:pPr>
    </w:p>
    <w:p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lastRenderedPageBreak/>
        <w:t>w przypadku projektów objętych pomocą de minimis oraz projektów generujących dochód nie przewiduje się wsparcia ze środków z budżetu państwa.</w:t>
      </w:r>
    </w:p>
    <w:p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DD3FC3" w:rsidRPr="00F81477" w:rsidRDefault="00F05F7C" w:rsidP="000341DA">
      <w:pPr>
        <w:pStyle w:val="Nagwek1"/>
        <w:keepNext/>
        <w:jc w:val="center"/>
        <w:rPr>
          <w:rFonts w:ascii="Calibri" w:hAnsi="Calibri" w:cs="Arial"/>
          <w:color w:val="000000"/>
        </w:rPr>
      </w:pPr>
      <w:bookmarkStart w:id="2" w:name="_Toc441656549"/>
      <w:r w:rsidRPr="00F81477">
        <w:rPr>
          <w:noProof/>
          <w:color w:val="000000"/>
        </w:rPr>
        <w:drawing>
          <wp:anchor distT="0" distB="0" distL="114300" distR="114300" simplePos="0" relativeHeight="251665408" behindDoc="1" locked="0" layoutInCell="1" allowOverlap="1">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2"/>
    </w:p>
    <w:p w:rsidR="00AB08E1" w:rsidRPr="00F81477" w:rsidRDefault="00AB08E1" w:rsidP="000341DA">
      <w:pPr>
        <w:keepNext/>
        <w:autoSpaceDE w:val="0"/>
        <w:autoSpaceDN w:val="0"/>
        <w:adjustRightInd w:val="0"/>
        <w:spacing w:after="0" w:line="360" w:lineRule="auto"/>
        <w:jc w:val="both"/>
        <w:rPr>
          <w:rFonts w:cs="Arial"/>
          <w:color w:val="000000"/>
          <w:sz w:val="20"/>
          <w:szCs w:val="20"/>
        </w:rPr>
      </w:pPr>
    </w:p>
    <w:p w:rsidR="006F407F" w:rsidRPr="00F81477" w:rsidRDefault="006F407F" w:rsidP="000341DA">
      <w:pPr>
        <w:keepNext/>
        <w:autoSpaceDE w:val="0"/>
        <w:autoSpaceDN w:val="0"/>
        <w:adjustRightInd w:val="0"/>
        <w:spacing w:after="0" w:line="360" w:lineRule="auto"/>
        <w:jc w:val="both"/>
        <w:rPr>
          <w:rFonts w:cs="Arial"/>
          <w:color w:val="000000"/>
          <w:sz w:val="20"/>
          <w:szCs w:val="20"/>
        </w:rPr>
      </w:pPr>
    </w:p>
    <w:p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z późn</w:t>
      </w:r>
      <w:r w:rsidR="000341DA" w:rsidRPr="00C614A0">
        <w:rPr>
          <w:rFonts w:cs="Arial"/>
          <w:color w:val="000000"/>
          <w:sz w:val="20"/>
          <w:szCs w:val="20"/>
        </w:rPr>
        <w:t>. zm.);</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lastRenderedPageBreak/>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z późn. zm.);</w:t>
      </w:r>
    </w:p>
    <w:p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Przy korzystaniu z pomocy de minimis z dofinansowania wykluczone są projekty, których przedmiotem są działalności wykluczone z możliwości uzyskania pomocy na podstawie rozporządzenia Ministra Infrastruktury i Rozwoju w sprawie udzielania pomocy de minimis w ramach regionalnych programów operacyjnych 2014-2020.</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DD3FC3" w:rsidRPr="00F81477" w:rsidRDefault="00E71DB8" w:rsidP="00E76EDA">
      <w:pPr>
        <w:pStyle w:val="Nagwek1"/>
        <w:keepNext/>
        <w:jc w:val="center"/>
        <w:rPr>
          <w:rFonts w:ascii="Calibri" w:hAnsi="Calibri" w:cs="Arial"/>
          <w:color w:val="000000"/>
        </w:rPr>
      </w:pPr>
      <w:bookmarkStart w:id="3" w:name="_Toc441656550"/>
      <w:r w:rsidRPr="00F81477">
        <w:rPr>
          <w:rFonts w:ascii="Calibri" w:hAnsi="Calibri" w:cs="Arial"/>
          <w:color w:val="000000"/>
        </w:rPr>
        <w:t xml:space="preserve">4. </w:t>
      </w:r>
    </w:p>
    <w:p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3"/>
    </w:p>
    <w:p w:rsidR="00E7729A" w:rsidRDefault="00E7729A" w:rsidP="00E76EDA">
      <w:pPr>
        <w:pStyle w:val="Tekstpodstawowy2"/>
        <w:keepNext/>
        <w:tabs>
          <w:tab w:val="left" w:pos="1590"/>
        </w:tabs>
        <w:spacing w:before="120" w:line="360" w:lineRule="auto"/>
        <w:rPr>
          <w:rFonts w:cs="Arial"/>
          <w:color w:val="000000"/>
        </w:rPr>
      </w:pPr>
    </w:p>
    <w:p w:rsidR="00E76EDA" w:rsidRPr="00E76EDA" w:rsidRDefault="00E76EDA" w:rsidP="00E76EDA">
      <w:pPr>
        <w:pStyle w:val="Tekstpodstawowy2"/>
        <w:keepNext/>
        <w:tabs>
          <w:tab w:val="left" w:pos="1590"/>
        </w:tabs>
        <w:spacing w:before="120" w:line="360" w:lineRule="auto"/>
        <w:rPr>
          <w:rFonts w:cs="Arial"/>
          <w:color w:val="000000"/>
        </w:rPr>
      </w:pPr>
    </w:p>
    <w:p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późn. zm.)</w:t>
      </w:r>
      <w:r w:rsidRPr="00251394">
        <w:rPr>
          <w:rFonts w:eastAsia="Calibri" w:cs="Arial"/>
          <w:color w:val="000000"/>
          <w:sz w:val="20"/>
          <w:szCs w:val="20"/>
        </w:rPr>
        <w:t>;</w:t>
      </w:r>
    </w:p>
    <w:p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lastRenderedPageBreak/>
        <w:t>Rozporządzeniem Ministra Infrastruktury i Rozwoju z dnia 19 marca 2015 r. w sprawie udzielania pomocy de minimis w ramach regionalnych programów operacyjnych na lata 2014-2020</w:t>
      </w:r>
      <w:r w:rsidR="00C37838">
        <w:rPr>
          <w:rFonts w:eastAsia="Calibri" w:cs="Arial"/>
          <w:iCs/>
          <w:color w:val="000000"/>
          <w:sz w:val="20"/>
          <w:szCs w:val="20"/>
        </w:rPr>
        <w:t>;</w:t>
      </w:r>
    </w:p>
    <w:p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t>W przypadku projektów nieobjętych pomocą publiczną oraz realizowanych w ramach pomocy de minimis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W przypadku realizowania projektu w oparciu o rozporządzenie pomocowe istnieje możliwość łączenia pomocy publicznej z pomocą de minimis w ramach której możliwe są do kwalifikowania inne koszty projektu niż tylko prace inwestycyjne (w tym również prace przygotowawcze).</w:t>
      </w:r>
    </w:p>
    <w:p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lastRenderedPageBreak/>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techniczno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 xml:space="preserve">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w:t>
      </w:r>
      <w:r w:rsidRPr="00E76229">
        <w:rPr>
          <w:rFonts w:asciiTheme="minorHAnsi" w:hAnsiTheme="minorHAnsi" w:cstheme="minorHAnsi"/>
          <w:sz w:val="20"/>
          <w:szCs w:val="20"/>
        </w:rPr>
        <w:lastRenderedPageBreak/>
        <w:t>związane z rozbiórką dotychczasowego wykończenia lub konstrukcji, jeżeli taka konieczność wynika z zastosowanej technologii.</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podłoga na gruncie – ocieplenie podłogi na gruncie</w:t>
      </w:r>
      <w:r w:rsidRPr="00DF4453">
        <w:rPr>
          <w:rFonts w:asciiTheme="minorHAnsi" w:hAnsiTheme="minorHAnsi" w:cstheme="minorHAnsi"/>
          <w:bCs/>
          <w:sz w:val="20"/>
          <w:szCs w:val="20"/>
        </w:rPr>
        <w:t>izolacje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modernizację okien  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 z odzyskiem ciepła;</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lastRenderedPageBreak/>
        <w:t>montaż nawiewników higrosterowanych, automatycznych w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oze i (mikro) trigeneracji; </w:t>
      </w:r>
    </w:p>
    <w:p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podpionowych;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perlatorów oraz zaworów ograniczających ciśnienie, w tym kryz dławiących, jako reduktorów przepływu;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 instalacji zimnej wody w niezbędnym zakresie, związanym z modernizacją instalacji c.w.u. </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w:t>
      </w:r>
      <w:r w:rsidRPr="00B06368">
        <w:rPr>
          <w:rFonts w:asciiTheme="minorHAnsi" w:hAnsiTheme="minorHAnsi" w:cstheme="minorHAnsi"/>
          <w:sz w:val="20"/>
          <w:szCs w:val="20"/>
        </w:rPr>
        <w:lastRenderedPageBreak/>
        <w:t>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techniczno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techniczno –budowlanymi;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podpionowych, zaworów termostatycznych, zaworów równoważących oraz wszelkiej innej armatury wpływającej na jakość regulacji;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zagrzejnikowych;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wzbiorczych oraz automatycznych zaworów odpowietrzających);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montażu instalacji wykorzystujących kotły spalające biomasę lub ewentualnie paliwa gazowe w modernizowanych energetycznie budynkach, zastępująca w całości lub częściowo dotychczasowe źródło ciepła, pod warunkiem, że obiekt nie jest lub nie może być podłączony do sieci ciepłowniczej lub nie jest to ekonomicznie </w:t>
      </w:r>
      <w:r w:rsidRPr="00B06368">
        <w:rPr>
          <w:rFonts w:asciiTheme="minorHAnsi" w:hAnsiTheme="minorHAnsi" w:cstheme="minorHAnsi"/>
          <w:sz w:val="20"/>
          <w:szCs w:val="20"/>
        </w:rPr>
        <w:lastRenderedPageBreak/>
        <w:t>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instalacji mikrokogeneracji lub mikrotrigeneracji na potrzeby własne.</w:t>
      </w:r>
    </w:p>
    <w:p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lastRenderedPageBreak/>
        <w:t>okładziny ceramiczne i malowanie pomieszczeń;</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kanalizacyjne;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pożarowe;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lastRenderedPageBreak/>
        <w:t xml:space="preserve">przełożenie (wymiana) instalacji elektrycznej, gdy jest to uzasadnione i wynika z konieczności dostosowania instalacji w związku z usprawnieniami termomodernizacyjnymi; </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roboty związane z automatyką budynku (budynki inteligentne) – wyposażenie budynku w system czujników i detektorów oraz jeden, zintegrowany system zarządzania wszystkimi znajdującymi się w budynku instalacjami (w tym np. wyposażenie budynków w takie systemy jak BMS – Building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lastRenderedPageBreak/>
        <w:t>wymiana urządzeń energii pomocniczej na energooszczędne (wymiana pomp, wymiana napędów);</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kompensacja utraconych miejsc gniazdowania ptaków lub miejsc okrycia się nietoperzy, zalecona przez RDOŚ (np. zamontowanie odpowiednich budejk lęgowych);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przełożenie instalacji odgromowych;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lastRenderedPageBreak/>
        <w:t>nadzór inwestorski i/lub autorski w zakresie prawidłowości realizacji inwestycji.</w:t>
      </w:r>
    </w:p>
    <w:p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Limity kosztów kwalifikowlanych weryfikowane są:</w:t>
      </w:r>
    </w:p>
    <w:p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ekoprojektu dla produktów związanych z energią;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lastRenderedPageBreak/>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rsidR="003B3F1B" w:rsidRDefault="003B3F1B" w:rsidP="004D0EB8">
      <w:pPr>
        <w:pStyle w:val="Akapitzlist"/>
        <w:spacing w:line="360" w:lineRule="auto"/>
        <w:ind w:left="855"/>
        <w:jc w:val="both"/>
        <w:rPr>
          <w:rFonts w:cstheme="minorHAnsi"/>
        </w:rPr>
      </w:pPr>
    </w:p>
    <w:p w:rsidR="003B3F1B" w:rsidRPr="008648DA" w:rsidRDefault="003B3F1B" w:rsidP="003B3F1B">
      <w:pPr>
        <w:autoSpaceDE w:val="0"/>
        <w:autoSpaceDN w:val="0"/>
        <w:adjustRightInd w:val="0"/>
        <w:spacing w:after="0" w:line="360" w:lineRule="auto"/>
        <w:jc w:val="both"/>
        <w:rPr>
          <w:rFonts w:cs="Arial"/>
          <w:color w:val="000000"/>
          <w:sz w:val="20"/>
          <w:szCs w:val="20"/>
        </w:rPr>
      </w:pPr>
    </w:p>
    <w:p w:rsidR="00B7354F" w:rsidRPr="00F81477" w:rsidRDefault="00F05F7C" w:rsidP="00B22887">
      <w:pPr>
        <w:keepNext/>
        <w:rPr>
          <w:rFonts w:ascii="Arial" w:hAnsi="Arial" w:cs="Arial"/>
          <w:b/>
          <w:color w:val="000000"/>
        </w:rPr>
      </w:pPr>
      <w:r w:rsidRPr="00F81477">
        <w:rPr>
          <w:rFonts w:ascii="Arial" w:hAnsi="Arial" w:cs="Arial"/>
          <w:b/>
          <w:noProof/>
          <w:color w:val="000000"/>
        </w:rPr>
        <w:drawing>
          <wp:anchor distT="0" distB="0" distL="114300" distR="114300" simplePos="0" relativeHeight="251659264" behindDoc="1" locked="0" layoutInCell="1" allowOverlap="1">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4F3C90" w:rsidRPr="00F81477" w:rsidRDefault="004F3C90" w:rsidP="00B22887">
      <w:pPr>
        <w:pStyle w:val="Nagwek1"/>
        <w:keepNext/>
        <w:numPr>
          <w:ilvl w:val="0"/>
          <w:numId w:val="4"/>
        </w:numPr>
        <w:ind w:left="0" w:firstLine="0"/>
        <w:jc w:val="center"/>
        <w:rPr>
          <w:rFonts w:ascii="Calibri" w:hAnsi="Calibri" w:cs="Arial"/>
          <w:color w:val="000000"/>
        </w:rPr>
      </w:pPr>
      <w:bookmarkStart w:id="4" w:name="_Toc441656551"/>
    </w:p>
    <w:p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4"/>
    </w:p>
    <w:p w:rsidR="00E40ED8" w:rsidRPr="00F81477" w:rsidRDefault="00E40ED8" w:rsidP="00B22887">
      <w:pPr>
        <w:keepNext/>
        <w:spacing w:before="120" w:after="120" w:line="360" w:lineRule="auto"/>
        <w:jc w:val="center"/>
        <w:rPr>
          <w:rFonts w:ascii="Arial" w:hAnsi="Arial" w:cs="Arial"/>
          <w:b/>
          <w:color w:val="000000"/>
        </w:rPr>
      </w:pPr>
    </w:p>
    <w:p w:rsidR="000E76E0" w:rsidRPr="00F81477" w:rsidRDefault="000E76E0" w:rsidP="00B22887">
      <w:pPr>
        <w:keepNext/>
        <w:spacing w:before="120" w:after="120" w:line="360" w:lineRule="auto"/>
        <w:rPr>
          <w:rFonts w:cs="Arial"/>
          <w:b/>
          <w:color w:val="000000"/>
          <w:sz w:val="20"/>
          <w:szCs w:val="20"/>
        </w:rPr>
      </w:pPr>
    </w:p>
    <w:p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minimis w oparciu o Rozporządzenie Ministra Infrastruktury i Rozwoju z dnia </w:t>
      </w:r>
      <w:r w:rsidR="00D50FA5">
        <w:rPr>
          <w:rFonts w:cs="Calibri"/>
          <w:color w:val="000000"/>
          <w:sz w:val="20"/>
          <w:szCs w:val="20"/>
        </w:rPr>
        <w:br/>
      </w:r>
      <w:r w:rsidRPr="00AF21E4">
        <w:rPr>
          <w:rFonts w:cs="Calibri"/>
          <w:color w:val="000000"/>
          <w:sz w:val="20"/>
          <w:szCs w:val="20"/>
        </w:rPr>
        <w:lastRenderedPageBreak/>
        <w:t>19 marca 2015 r. w sprawie udzielania pomocy de minimis w ramach regionalnych programów operacyjnych na lata 2014-2020.</w:t>
      </w:r>
    </w:p>
    <w:p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minimis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drawing>
          <wp:anchor distT="0" distB="0" distL="114300" distR="114300" simplePos="0" relativeHeight="251663360" behindDoc="1" locked="0" layoutInCell="1" allowOverlap="1">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rsidR="004F3C90" w:rsidRPr="006E17BE" w:rsidRDefault="004F3C90" w:rsidP="006E17BE">
      <w:pPr>
        <w:pStyle w:val="Nagwek1"/>
        <w:keepNext/>
        <w:numPr>
          <w:ilvl w:val="0"/>
          <w:numId w:val="4"/>
        </w:numPr>
        <w:ind w:left="0" w:firstLine="0"/>
        <w:jc w:val="center"/>
        <w:rPr>
          <w:rFonts w:ascii="Calibri" w:hAnsi="Calibri" w:cs="Arial"/>
          <w:color w:val="000000"/>
        </w:rPr>
      </w:pPr>
      <w:bookmarkStart w:id="5" w:name="_Toc441656552"/>
    </w:p>
    <w:p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5"/>
    </w:p>
    <w:p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[MWe]</w:t>
      </w:r>
      <w:r>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[MWt]</w:t>
      </w:r>
      <w:r>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lastRenderedPageBreak/>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[MWht/rok]</w:t>
      </w:r>
    </w:p>
    <w:p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[MWht/rok]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nowo wybudowanych instalacji wykorzystujących OZE [MWhe/rok] i/lub</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[MWhe/rok]</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lastRenderedPageBreak/>
        <w:t>Liczba obiektów dostosowanych do potrzeb osób z 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przebudowanych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[MWe]</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[MWt]</w:t>
      </w:r>
      <w:r>
        <w:rPr>
          <w:rFonts w:eastAsia="Calibri" w:cs="Calibri"/>
          <w:sz w:val="20"/>
          <w:szCs w:val="20"/>
          <w:lang w:eastAsia="en-US"/>
        </w:rPr>
        <w:t>;</w:t>
      </w:r>
    </w:p>
    <w:p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lastRenderedPageBreak/>
        <w:t>Wzrost zatrudnienia we wspieranych podmiotach (innych niż przedsiębiorstwa)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rsidR="00A66A79" w:rsidRPr="000467F3" w:rsidRDefault="00A66A79" w:rsidP="00A66A79">
      <w:pPr>
        <w:pStyle w:val="Akapitzlist"/>
        <w:spacing w:after="0" w:line="360" w:lineRule="auto"/>
        <w:ind w:left="567"/>
        <w:contextualSpacing w:val="0"/>
        <w:jc w:val="both"/>
        <w:rPr>
          <w:rFonts w:cs="Calibri"/>
          <w:color w:val="000000"/>
          <w:sz w:val="20"/>
          <w:szCs w:val="20"/>
        </w:rPr>
      </w:pPr>
    </w:p>
    <w:p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6" w:name="_Toc441656553"/>
    </w:p>
    <w:p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6"/>
    </w:p>
    <w:p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lastRenderedPageBreak/>
        <w:t>sposób postępowania w przypadku naruszenia lub niewywiązania się stron z porozumienia lub umowy.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7" w:name="_Toc441656554"/>
    </w:p>
    <w:p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7"/>
    </w:p>
    <w:p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7E092F">
        <w:rPr>
          <w:color w:val="000000"/>
          <w:sz w:val="20"/>
          <w:szCs w:val="20"/>
        </w:rPr>
        <w:t>2020 r. do dnia 31 sierpnia</w:t>
      </w:r>
      <w:r w:rsidR="002A02A3" w:rsidRPr="00847B89">
        <w:rPr>
          <w:color w:val="000000"/>
          <w:sz w:val="20"/>
          <w:szCs w:val="20"/>
        </w:rPr>
        <w:t xml:space="preserve">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ePUAP,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lastRenderedPageBreak/>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możliwe wyłącznie za pośrednictwem platformy ePUAP.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ePUAP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podpisu potwierdzonego profilem zaufanym w ramach ePUAP.</w:t>
      </w:r>
    </w:p>
    <w:p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przekierowana na stronę platformy ePUAP</w:t>
      </w:r>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doc, docx, pdf, xls, xlsx, jpg, tiff.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lastRenderedPageBreak/>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rsidTr="00E80133">
        <w:trPr>
          <w:trHeight w:val="2324"/>
        </w:trPr>
        <w:tc>
          <w:tcPr>
            <w:tcW w:w="9747" w:type="dxa"/>
          </w:tcPr>
          <w:p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rsidR="00D51A08" w:rsidRPr="00F81477" w:rsidRDefault="00D51A08" w:rsidP="00D51A08">
      <w:pPr>
        <w:autoSpaceDE w:val="0"/>
        <w:autoSpaceDN w:val="0"/>
        <w:adjustRightInd w:val="0"/>
        <w:spacing w:after="0" w:line="360" w:lineRule="auto"/>
        <w:jc w:val="both"/>
        <w:rPr>
          <w:color w:val="000000"/>
          <w:sz w:val="20"/>
          <w:szCs w:val="20"/>
        </w:rPr>
      </w:pPr>
    </w:p>
    <w:p w:rsidR="00E80133" w:rsidRPr="00F81477" w:rsidRDefault="00E80133" w:rsidP="00D51A08">
      <w:pPr>
        <w:autoSpaceDE w:val="0"/>
        <w:autoSpaceDN w:val="0"/>
        <w:adjustRightInd w:val="0"/>
        <w:spacing w:after="0" w:line="360" w:lineRule="auto"/>
        <w:jc w:val="both"/>
        <w:rPr>
          <w:color w:val="000000"/>
          <w:sz w:val="20"/>
          <w:szCs w:val="20"/>
        </w:rPr>
      </w:pPr>
    </w:p>
    <w:p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kolumnie „% dof.” należy wpisać wartość poziomu dofinansowania (wynik podzielenia kwoty dofinansowania przez zsumowaną kwotę kosztów kwalifikowanych)</w:t>
      </w:r>
      <w:r w:rsidR="00070EC5" w:rsidRPr="00F81477">
        <w:rPr>
          <w:rFonts w:cs="Arial"/>
          <w:color w:val="000000"/>
          <w:sz w:val="20"/>
          <w:szCs w:val="20"/>
        </w:rPr>
        <w:t>;</w:t>
      </w:r>
    </w:p>
    <w:p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rsidR="00070EC5" w:rsidRPr="00F81477" w:rsidRDefault="00070EC5" w:rsidP="005F5AD9">
      <w:pPr>
        <w:keepNext/>
        <w:autoSpaceDE w:val="0"/>
        <w:autoSpaceDN w:val="0"/>
        <w:adjustRightInd w:val="0"/>
        <w:spacing w:after="0" w:line="360" w:lineRule="auto"/>
        <w:jc w:val="both"/>
        <w:rPr>
          <w:rFonts w:cs="Arial"/>
          <w:color w:val="000000"/>
          <w:sz w:val="20"/>
          <w:szCs w:val="20"/>
        </w:rPr>
      </w:pPr>
    </w:p>
    <w:p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8" w:name="_Toc441656555"/>
    </w:p>
    <w:p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8"/>
    </w:p>
    <w:p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rsidR="003028AD" w:rsidRPr="00F81477" w:rsidRDefault="003028AD" w:rsidP="005F5AD9">
      <w:pPr>
        <w:pStyle w:val="Tekstpodstawowy3"/>
        <w:keepNext/>
        <w:spacing w:after="0" w:line="360" w:lineRule="auto"/>
        <w:jc w:val="both"/>
        <w:rPr>
          <w:rFonts w:cs="Arial"/>
          <w:color w:val="000000"/>
          <w:sz w:val="20"/>
          <w:szCs w:val="20"/>
        </w:rPr>
      </w:pPr>
    </w:p>
    <w:p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lastRenderedPageBreak/>
        <w:t>Systematyka stosowanych kryteriów:</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formalne – 0/1, ocena KOP - pracownik IOK, etap oceny formalnej;</w:t>
      </w:r>
    </w:p>
    <w:p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w:t>
      </w:r>
      <w:r w:rsidR="00E647C2">
        <w:rPr>
          <w:rFonts w:eastAsia="Calibri" w:cs="Arial"/>
          <w:sz w:val="20"/>
          <w:szCs w:val="20"/>
          <w:lang w:eastAsia="en-US"/>
        </w:rPr>
        <w:t>torycznych stanowi co najmniej 5</w:t>
      </w:r>
      <w:r w:rsidRPr="00177CA7">
        <w:rPr>
          <w:rFonts w:eastAsia="Calibri" w:cs="Arial"/>
          <w:sz w:val="20"/>
          <w:szCs w:val="20"/>
          <w:lang w:eastAsia="en-US"/>
        </w:rPr>
        <w:t>0% maksymalnej możliw</w:t>
      </w:r>
      <w:r w:rsidR="00933F60" w:rsidRPr="00177CA7">
        <w:rPr>
          <w:rFonts w:eastAsia="Calibri" w:cs="Arial"/>
          <w:sz w:val="20"/>
          <w:szCs w:val="20"/>
          <w:lang w:eastAsia="en-US"/>
        </w:rPr>
        <w:t>ej do uzyskania liczby punktów.</w:t>
      </w:r>
    </w:p>
    <w:p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lastRenderedPageBreak/>
        <w:t>czy załączniki do wniosku o dofinansowanie są aktualne i sporządzone na właściwych formularzach/we właściwej formie;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lastRenderedPageBreak/>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w:t>
      </w:r>
      <w:r w:rsidRPr="00F81477">
        <w:rPr>
          <w:rFonts w:cs="Arial"/>
          <w:color w:val="000000"/>
          <w:sz w:val="20"/>
          <w:szCs w:val="20"/>
        </w:rPr>
        <w:lastRenderedPageBreak/>
        <w:t>mogą również odnosić się do kwestii całkowicie pominiętych przez wnioskodawcę we wniosku o dofinansowanie.</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00E647C2">
        <w:rPr>
          <w:rFonts w:eastAsia="Calibri" w:cs="Calibri"/>
          <w:sz w:val="20"/>
          <w:szCs w:val="20"/>
          <w:lang w:eastAsia="en-US"/>
        </w:rPr>
        <w:t xml:space="preserve"> oraz osiągnie minimum 5</w:t>
      </w:r>
      <w:bookmarkStart w:id="9" w:name="_GoBack"/>
      <w:bookmarkEnd w:id="9"/>
      <w:r w:rsidRPr="00177CA7">
        <w:rPr>
          <w:rFonts w:eastAsia="Calibri" w:cs="Calibri"/>
          <w:sz w:val="20"/>
          <w:szCs w:val="20"/>
          <w:lang w:eastAsia="en-US"/>
        </w:rPr>
        <w:t>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lastRenderedPageBreak/>
        <w:t xml:space="preserve"> </w:t>
      </w:r>
      <w:r w:rsidR="0015738C" w:rsidRPr="00F81477">
        <w:rPr>
          <w:rFonts w:eastAsia="Calibri" w:cs="Arial"/>
          <w:color w:val="000000"/>
          <w:sz w:val="20"/>
          <w:szCs w:val="20"/>
          <w:lang w:eastAsia="en-US"/>
        </w:rPr>
        <w:t>wskazanie, że wnioskodawca może odebrać pismo w formie dokumentu elektronicznego,</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odebrać zadanie, należy profilem zaufanym ePUAP lub podpisem kwalifikowanym podpisać urzędowe poświadczenie odbioru (UPO).</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w:t>
      </w:r>
      <w:r w:rsidR="00E73E98">
        <w:rPr>
          <w:rFonts w:cs="Arial"/>
          <w:color w:val="000000"/>
          <w:sz w:val="20"/>
          <w:szCs w:val="20"/>
        </w:rPr>
        <w:lastRenderedPageBreak/>
        <w:t>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rsidR="008776A5" w:rsidRPr="00F81477" w:rsidRDefault="008776A5" w:rsidP="005F5AD9">
      <w:pPr>
        <w:pStyle w:val="Default"/>
        <w:keepNext/>
        <w:spacing w:after="120" w:line="360" w:lineRule="auto"/>
        <w:rPr>
          <w:rFonts w:cs="Arial"/>
          <w:b/>
          <w:sz w:val="20"/>
          <w:szCs w:val="20"/>
        </w:rPr>
      </w:pPr>
    </w:p>
    <w:p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10" w:name="_Toc441656556"/>
    </w:p>
    <w:p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rsidR="00E0769E" w:rsidRPr="00F81477" w:rsidRDefault="00E0769E" w:rsidP="005F5AD9">
      <w:pPr>
        <w:pStyle w:val="Default"/>
        <w:keepNext/>
        <w:spacing w:after="120" w:line="360" w:lineRule="auto"/>
        <w:ind w:left="425" w:hanging="357"/>
        <w:jc w:val="center"/>
        <w:rPr>
          <w:rFonts w:ascii="Arial" w:hAnsi="Arial" w:cs="Arial"/>
          <w:b/>
          <w:sz w:val="22"/>
          <w:szCs w:val="22"/>
        </w:rPr>
      </w:pPr>
    </w:p>
    <w:p w:rsidR="00AA3D37" w:rsidRPr="00F81477" w:rsidRDefault="00AA3D37" w:rsidP="00AA3D37">
      <w:pPr>
        <w:pStyle w:val="Default"/>
        <w:keepNext/>
        <w:spacing w:after="120" w:line="360" w:lineRule="auto"/>
        <w:rPr>
          <w:rFonts w:cs="Arial"/>
          <w:b/>
          <w:sz w:val="20"/>
          <w:szCs w:val="20"/>
        </w:rPr>
      </w:pPr>
    </w:p>
    <w:p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lastRenderedPageBreak/>
        <w:t>Sposób złożenia protestu</w:t>
      </w:r>
      <w:r w:rsidR="004D49EA">
        <w:rPr>
          <w:rFonts w:cs="Arial"/>
          <w:color w:val="000000"/>
          <w:sz w:val="20"/>
          <w:szCs w:val="20"/>
        </w:rPr>
        <w:t>.</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lastRenderedPageBreak/>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lastRenderedPageBreak/>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p>
    <w:p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rsidR="00E0769E" w:rsidRPr="00F81477" w:rsidRDefault="00E0769E" w:rsidP="00BF47B7">
      <w:pPr>
        <w:pStyle w:val="Default"/>
        <w:keepNext/>
        <w:spacing w:after="120" w:line="360" w:lineRule="auto"/>
        <w:ind w:left="425" w:hanging="357"/>
        <w:jc w:val="center"/>
        <w:rPr>
          <w:rFonts w:ascii="Arial" w:hAnsi="Arial" w:cs="Arial"/>
          <w:b/>
          <w:sz w:val="22"/>
          <w:szCs w:val="22"/>
        </w:rPr>
      </w:pPr>
    </w:p>
    <w:p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r>
        <w:rPr>
          <w:color w:val="auto"/>
          <w:sz w:val="20"/>
        </w:rPr>
        <w:t>Pzp</w:t>
      </w:r>
      <w:r w:rsidR="00027EF1">
        <w:rPr>
          <w:color w:val="auto"/>
          <w:sz w:val="20"/>
        </w:rPr>
        <w:t xml:space="preserve"> </w:t>
      </w:r>
      <w:r w:rsidRPr="006F44AE">
        <w:rPr>
          <w:rFonts w:cs="Arial"/>
          <w:sz w:val="20"/>
          <w:szCs w:val="20"/>
        </w:rPr>
        <w:t>lub z zasadą konkurencyjności określoną w wytycznych w zakresie kwalifikowalności wydatków.</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poprzetargowe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rsidTr="000E675C">
        <w:trPr>
          <w:trHeight w:val="1017"/>
        </w:trPr>
        <w:tc>
          <w:tcPr>
            <w:tcW w:w="9355" w:type="dxa"/>
          </w:tcPr>
          <w:p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pzp,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rsidR="00AD6112" w:rsidRPr="00F81477" w:rsidRDefault="00E647C2"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rsidR="00AD6112" w:rsidRPr="00F81477" w:rsidRDefault="00AD6112" w:rsidP="002C69B0">
      <w:pPr>
        <w:pStyle w:val="Default"/>
        <w:keepNext/>
        <w:spacing w:before="120" w:after="120" w:line="360" w:lineRule="auto"/>
        <w:jc w:val="both"/>
        <w:rPr>
          <w:rFonts w:cs="Arial"/>
          <w:sz w:val="20"/>
          <w:szCs w:val="20"/>
        </w:rPr>
      </w:pPr>
    </w:p>
    <w:p w:rsidR="00B1348A" w:rsidRPr="00F81477" w:rsidRDefault="00B1348A" w:rsidP="002C69B0">
      <w:pPr>
        <w:pStyle w:val="Default"/>
        <w:keepNext/>
        <w:spacing w:before="120" w:after="120" w:line="360" w:lineRule="auto"/>
        <w:jc w:val="both"/>
        <w:rPr>
          <w:rFonts w:cs="Arial"/>
          <w:sz w:val="20"/>
          <w:szCs w:val="20"/>
        </w:rPr>
      </w:pPr>
    </w:p>
    <w:p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bookmarkStart w:id="12" w:name="_Toc441656558"/>
    </w:p>
    <w:p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rsidR="00563025" w:rsidRPr="00F81477" w:rsidRDefault="00563025" w:rsidP="00EE75B8">
      <w:pPr>
        <w:keepNext/>
        <w:spacing w:line="360" w:lineRule="auto"/>
        <w:ind w:left="284"/>
        <w:jc w:val="center"/>
        <w:rPr>
          <w:rFonts w:cs="Arial"/>
          <w:color w:val="000000"/>
          <w:sz w:val="20"/>
          <w:szCs w:val="20"/>
        </w:rPr>
      </w:pPr>
    </w:p>
    <w:p w:rsidR="00C21BBA" w:rsidRPr="00F81477" w:rsidRDefault="00C21BBA" w:rsidP="00C21BBA">
      <w:pPr>
        <w:keepNext/>
        <w:spacing w:line="360" w:lineRule="auto"/>
        <w:ind w:left="284"/>
        <w:jc w:val="center"/>
        <w:rPr>
          <w:rFonts w:cs="Arial"/>
          <w:color w:val="000000"/>
          <w:sz w:val="20"/>
          <w:szCs w:val="20"/>
        </w:rPr>
      </w:pPr>
    </w:p>
    <w:p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rsidR="0041168A" w:rsidRPr="00F81477" w:rsidRDefault="0041168A" w:rsidP="0067620A">
      <w:pPr>
        <w:pStyle w:val="Akapitzlist"/>
        <w:spacing w:before="120" w:after="120" w:line="360" w:lineRule="auto"/>
        <w:ind w:left="709"/>
        <w:jc w:val="both"/>
        <w:rPr>
          <w:rFonts w:cs="Arial"/>
          <w:color w:val="000000"/>
          <w:sz w:val="20"/>
          <w:szCs w:val="20"/>
          <w:highlight w:val="red"/>
        </w:rPr>
      </w:pPr>
    </w:p>
    <w:p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4384" behindDoc="1" locked="0" layoutInCell="1" allowOverlap="1">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rsidR="00847B12" w:rsidRPr="00847B12" w:rsidRDefault="00847B12" w:rsidP="00847B12">
      <w:pPr>
        <w:pStyle w:val="Nagwek1"/>
        <w:keepNext/>
        <w:numPr>
          <w:ilvl w:val="0"/>
          <w:numId w:val="8"/>
        </w:numPr>
        <w:jc w:val="center"/>
        <w:rPr>
          <w:rFonts w:ascii="Calibri" w:hAnsi="Calibri" w:cs="Arial"/>
          <w:color w:val="000000"/>
          <w:spacing w:val="40"/>
        </w:rPr>
      </w:pPr>
    </w:p>
    <w:p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rsidR="00B3146E" w:rsidRPr="00F81477" w:rsidRDefault="00B3146E" w:rsidP="00E53493">
      <w:pPr>
        <w:keepNext/>
        <w:spacing w:before="120" w:after="120" w:line="360" w:lineRule="auto"/>
        <w:jc w:val="both"/>
        <w:rPr>
          <w:rFonts w:cs="Arial"/>
          <w:color w:val="000000"/>
          <w:sz w:val="20"/>
          <w:szCs w:val="20"/>
        </w:rPr>
      </w:pPr>
    </w:p>
    <w:p w:rsidR="00D22B29" w:rsidRPr="009C3092" w:rsidRDefault="00D22B29" w:rsidP="00D22B29">
      <w:pPr>
        <w:pStyle w:val="Akapitzlist"/>
        <w:spacing w:before="120" w:after="120" w:line="360" w:lineRule="auto"/>
        <w:ind w:left="0"/>
        <w:jc w:val="both"/>
        <w:rPr>
          <w:rFonts w:cs="Arial"/>
          <w:sz w:val="20"/>
          <w:szCs w:val="20"/>
        </w:rPr>
      </w:pPr>
    </w:p>
    <w:p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rsidR="005F1459" w:rsidRPr="00F81477" w:rsidRDefault="005F1459" w:rsidP="0067620A">
      <w:pPr>
        <w:pStyle w:val="Tekstpodstawowy3"/>
        <w:keepNext/>
        <w:tabs>
          <w:tab w:val="left" w:pos="3290"/>
        </w:tabs>
        <w:spacing w:line="360" w:lineRule="auto"/>
        <w:rPr>
          <w:rFonts w:cs="Arial"/>
          <w:b/>
          <w:color w:val="000000"/>
          <w:sz w:val="20"/>
          <w:szCs w:val="20"/>
        </w:rPr>
      </w:pPr>
    </w:p>
    <w:p w:rsidR="005952FE" w:rsidRPr="00F81477" w:rsidRDefault="005952FE" w:rsidP="0067620A">
      <w:pPr>
        <w:pStyle w:val="Tekstpodstawowy3"/>
        <w:keepNext/>
        <w:tabs>
          <w:tab w:val="left" w:pos="3290"/>
        </w:tabs>
        <w:spacing w:line="360" w:lineRule="auto"/>
        <w:jc w:val="center"/>
        <w:rPr>
          <w:rFonts w:cs="Arial"/>
          <w:b/>
          <w:color w:val="000000"/>
        </w:rPr>
      </w:pPr>
    </w:p>
    <w:p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rsidR="009C3092" w:rsidRPr="00F81477" w:rsidRDefault="009C3092" w:rsidP="009C3092">
      <w:pPr>
        <w:pStyle w:val="Default"/>
        <w:spacing w:before="120" w:after="120" w:line="360" w:lineRule="auto"/>
        <w:ind w:left="709"/>
        <w:jc w:val="both"/>
        <w:rPr>
          <w:rFonts w:cs="Arial"/>
          <w:sz w:val="20"/>
          <w:szCs w:val="20"/>
        </w:rPr>
      </w:pPr>
    </w:p>
    <w:p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rsidR="006014E8" w:rsidRPr="00F81477" w:rsidRDefault="006014E8" w:rsidP="00571055">
      <w:pPr>
        <w:pStyle w:val="ZnakZnakZnak1ZnakZnak"/>
        <w:keepNext/>
        <w:spacing w:line="360" w:lineRule="auto"/>
        <w:rPr>
          <w:rFonts w:cs="Arial"/>
          <w:b/>
          <w:color w:val="000000"/>
          <w:sz w:val="20"/>
          <w:szCs w:val="20"/>
        </w:rPr>
      </w:pPr>
    </w:p>
    <w:p w:rsidR="002C69B0" w:rsidRPr="009C3092" w:rsidRDefault="002C69B0" w:rsidP="00571055">
      <w:pPr>
        <w:pStyle w:val="ZnakZnakZnak1ZnakZnak"/>
        <w:keepNext/>
        <w:spacing w:line="360" w:lineRule="auto"/>
        <w:rPr>
          <w:rFonts w:cs="Arial"/>
          <w:b/>
          <w:color w:val="000000"/>
          <w:sz w:val="20"/>
          <w:szCs w:val="20"/>
        </w:rPr>
      </w:pPr>
    </w:p>
    <w:p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lastRenderedPageBreak/>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nie profilu zaufanego ePUAP lub </w:t>
      </w:r>
      <w:r w:rsidRPr="00F81477">
        <w:rPr>
          <w:rFonts w:cs="Arial"/>
          <w:sz w:val="20"/>
          <w:szCs w:val="20"/>
        </w:rPr>
        <w:t>podpisu elektronicznego weryfikowanego za pomocą kwalifikowanego certyfikatu.</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ePUAP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rsidR="00845421" w:rsidRPr="003C4B9B" w:rsidRDefault="00845421" w:rsidP="00845421">
      <w:pPr>
        <w:pStyle w:val="Default"/>
        <w:spacing w:before="120" w:after="120" w:line="360" w:lineRule="auto"/>
        <w:ind w:left="709"/>
        <w:jc w:val="both"/>
        <w:rPr>
          <w:rFonts w:cs="Arial"/>
          <w:color w:val="auto"/>
          <w:sz w:val="20"/>
          <w:szCs w:val="20"/>
        </w:rPr>
      </w:pPr>
    </w:p>
    <w:p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rsidR="00B66A95" w:rsidRPr="00B66A95" w:rsidRDefault="00B66A95" w:rsidP="00B66A95">
      <w:pPr>
        <w:pStyle w:val="Nagwek1"/>
        <w:keepNext/>
        <w:numPr>
          <w:ilvl w:val="0"/>
          <w:numId w:val="12"/>
        </w:numPr>
        <w:rPr>
          <w:rFonts w:ascii="Calibri" w:hAnsi="Calibri" w:cs="Arial"/>
          <w:color w:val="000000"/>
        </w:rPr>
      </w:pPr>
    </w:p>
    <w:p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rsidR="005952FE" w:rsidRPr="00F81477" w:rsidRDefault="005952FE" w:rsidP="00442FD8">
      <w:pPr>
        <w:pStyle w:val="ZnakZnakZnak1ZnakZnak"/>
        <w:keepNext/>
        <w:spacing w:after="0" w:line="360" w:lineRule="auto"/>
        <w:rPr>
          <w:rFonts w:cs="Arial"/>
          <w:bCs/>
          <w:color w:val="000000"/>
          <w:spacing w:val="40"/>
          <w:sz w:val="20"/>
          <w:szCs w:val="20"/>
        </w:rPr>
      </w:pPr>
    </w:p>
    <w:p w:rsidR="002B3FDE" w:rsidRPr="00F81477" w:rsidRDefault="002B3FDE" w:rsidP="00442FD8">
      <w:pPr>
        <w:pStyle w:val="ZnakZnakZnak1ZnakZnak"/>
        <w:keepNext/>
        <w:spacing w:after="0" w:line="360" w:lineRule="auto"/>
        <w:rPr>
          <w:rFonts w:cs="Arial"/>
          <w:bCs/>
          <w:color w:val="000000"/>
          <w:spacing w:val="40"/>
          <w:sz w:val="20"/>
          <w:szCs w:val="20"/>
        </w:rPr>
      </w:pPr>
    </w:p>
    <w:p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w:t>
      </w:r>
      <w:r w:rsidRPr="001910BD">
        <w:rPr>
          <w:rFonts w:ascii="Calibri" w:hAnsi="Calibri" w:cs="Calibri"/>
          <w:bCs/>
          <w:color w:val="000000"/>
          <w:sz w:val="20"/>
          <w:szCs w:val="20"/>
        </w:rPr>
        <w:lastRenderedPageBreak/>
        <w:t xml:space="preserve">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z pó</w:t>
      </w:r>
      <w:r w:rsidR="00933F60">
        <w:rPr>
          <w:rFonts w:ascii="Calibri" w:hAnsi="Calibri" w:cs="Calibri"/>
          <w:bCs/>
          <w:color w:val="000000"/>
          <w:sz w:val="20"/>
          <w:szCs w:val="20"/>
        </w:rPr>
        <w:t>ź</w:t>
      </w:r>
      <w:r w:rsidR="003C4B9B">
        <w:rPr>
          <w:rFonts w:ascii="Calibri" w:hAnsi="Calibri" w:cs="Calibri"/>
          <w:bCs/>
          <w:color w:val="000000"/>
          <w:sz w:val="20"/>
          <w:szCs w:val="20"/>
        </w:rPr>
        <w:t>n. zm.</w:t>
      </w:r>
      <w:r w:rsidRPr="001910BD">
        <w:rPr>
          <w:rFonts w:ascii="Calibri" w:hAnsi="Calibri" w:cs="Calibri"/>
          <w:bCs/>
          <w:color w:val="000000"/>
          <w:sz w:val="20"/>
          <w:szCs w:val="20"/>
        </w:rPr>
        <w:t>);</w:t>
      </w:r>
    </w:p>
    <w:p w:rsidR="00BB0540" w:rsidRDefault="00E647C2"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r w:rsidR="008176FC">
        <w:rPr>
          <w:rFonts w:ascii="Calibri" w:hAnsi="Calibri" w:cs="Calibri"/>
          <w:bCs/>
          <w:sz w:val="20"/>
          <w:szCs w:val="20"/>
        </w:rPr>
        <w:t>póżn. zm.)</w:t>
      </w:r>
      <w:r w:rsidRPr="006967B7">
        <w:rPr>
          <w:rFonts w:ascii="Calibri" w:hAnsi="Calibri" w:cs="Calibri"/>
          <w:bCs/>
          <w:color w:val="000000"/>
          <w:sz w:val="20"/>
          <w:szCs w:val="20"/>
        </w:rPr>
        <w:t>. Należy załączyć dla projektów dla których do dnia złożenia wniosku załącznik (załączniki) uzyskano;</w:t>
      </w:r>
    </w:p>
    <w:p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 xml:space="preserve">dokumenty dotyczące zagospodarowania przestrzennego (kopia decyzji o warunkach zabudowy lub kopia decyzji o ustaleniu lokalizacji inwestycji lub wypis i wyrys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lastRenderedPageBreak/>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lastRenderedPageBreak/>
        <w:t>oświadczenie o posiadanym prawie do dysponowania nieruchomością w celu realizacji projektu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Maps,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t>audyt energetyczny;</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lastRenderedPageBreak/>
        <w:t>wniosek o nadanie/zmianę/wycofanie dostępu dla osoby uprawnionej do systemu SL2014;</w:t>
      </w:r>
    </w:p>
    <w:p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rsidR="00B0756F" w:rsidRPr="00F81477" w:rsidRDefault="00E647C2"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rsidR="00B0756F" w:rsidRPr="00F81477" w:rsidRDefault="00E647C2"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rsidR="005952FE" w:rsidRPr="00F81477" w:rsidRDefault="005952FE" w:rsidP="00090296">
      <w:pPr>
        <w:pStyle w:val="Tekstpodstawowy"/>
        <w:keepNext/>
        <w:spacing w:before="120" w:line="360" w:lineRule="auto"/>
        <w:rPr>
          <w:rFonts w:ascii="Calibri" w:hAnsi="Calibri" w:cs="Arial"/>
          <w:b/>
          <w:bCs/>
          <w:color w:val="000000"/>
          <w:sz w:val="20"/>
          <w:szCs w:val="20"/>
        </w:rPr>
      </w:pPr>
    </w:p>
    <w:p w:rsidR="00E71DB8" w:rsidRPr="00F81477" w:rsidRDefault="00E71DB8" w:rsidP="00563934">
      <w:pPr>
        <w:pStyle w:val="Tekstpodstawowy"/>
        <w:keepNext/>
        <w:spacing w:line="360" w:lineRule="auto"/>
        <w:rPr>
          <w:rFonts w:ascii="Calibri" w:hAnsi="Calibri" w:cs="Arial"/>
          <w:b/>
          <w:bCs/>
          <w:color w:val="000000"/>
          <w:sz w:val="20"/>
          <w:szCs w:val="20"/>
        </w:rPr>
      </w:pPr>
    </w:p>
    <w:p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lu Funduszy Europejskich oraz 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lastRenderedPageBreak/>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formularza informacji przedstawianych przy ubieganiu się o pomoc inną niż pomoc w rolnictwie lub rybołówstwie, pomoc de minimis lub pomoc de minimis w rolnictwie lub rybołówstwie</w:t>
        </w:r>
      </w:hyperlink>
      <w:r w:rsidRPr="00F81477">
        <w:rPr>
          <w:rFonts w:cs="Arial"/>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lastRenderedPageBreak/>
        <w:t>wzór formularza informacji przedstawianych przy ubieganiu się o pomoc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otrzymaniu/nieotrzymaniu pomocy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nieotrzymaniu pomocy publicznej/pomocy de minimis na planowane przedsięwzięcie</w:t>
      </w:r>
      <w:r w:rsidRPr="00F81477">
        <w:rPr>
          <w:rFonts w:cs="Arial"/>
          <w:bCs/>
          <w:noProof/>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rsidR="008776A5" w:rsidRPr="00F81477" w:rsidRDefault="008776A5" w:rsidP="00837916">
      <w:pPr>
        <w:pStyle w:val="Nagwek1"/>
        <w:keepNext/>
        <w:rPr>
          <w:rFonts w:ascii="Arial" w:hAnsi="Arial" w:cs="Arial"/>
          <w:b w:val="0"/>
          <w:color w:val="000000"/>
          <w:sz w:val="20"/>
          <w:szCs w:val="20"/>
        </w:rPr>
      </w:pPr>
    </w:p>
    <w:p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rsidR="002C405C" w:rsidRPr="00F81477" w:rsidRDefault="002C405C" w:rsidP="00837916">
      <w:pPr>
        <w:pStyle w:val="ZnakZnakZnak1ZnakZnak"/>
        <w:keepNext/>
        <w:spacing w:before="120" w:after="120" w:line="360" w:lineRule="auto"/>
        <w:rPr>
          <w:rFonts w:cs="Arial"/>
          <w:b/>
          <w:color w:val="000000"/>
          <w:sz w:val="16"/>
          <w:szCs w:val="16"/>
        </w:rPr>
      </w:pPr>
    </w:p>
    <w:p w:rsidR="00002FEA" w:rsidRPr="00F81477" w:rsidRDefault="00002FEA" w:rsidP="00837916">
      <w:pPr>
        <w:pStyle w:val="Default"/>
        <w:keepNext/>
        <w:spacing w:before="240" w:line="360" w:lineRule="auto"/>
        <w:ind w:left="720"/>
        <w:jc w:val="both"/>
        <w:rPr>
          <w:rFonts w:cs="Arial"/>
          <w:sz w:val="20"/>
          <w:szCs w:val="20"/>
        </w:rPr>
      </w:pPr>
    </w:p>
    <w:p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godz. pracy: pn – 8.00-18.00, wt-pt – 8.00-16.00;</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lastRenderedPageBreak/>
        <w:t>godz. pracy: pn – 8.00-18.00, wt-pt – 8.00-16.00;</w:t>
      </w:r>
    </w:p>
    <w:p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t>Infolinia: 801 101 101, pn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0, wt-pt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z późn.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z późn.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14" w:rsidRDefault="00E23B14" w:rsidP="00FE74CD">
      <w:pPr>
        <w:spacing w:after="0" w:line="240" w:lineRule="auto"/>
      </w:pPr>
      <w:r>
        <w:separator/>
      </w:r>
    </w:p>
  </w:endnote>
  <w:endnote w:type="continuationSeparator" w:id="0">
    <w:p w:rsidR="00E23B14" w:rsidRDefault="00E23B14" w:rsidP="00FE74CD">
      <w:pPr>
        <w:spacing w:after="0" w:line="240" w:lineRule="auto"/>
      </w:pPr>
      <w:r>
        <w:continuationSeparator/>
      </w:r>
    </w:p>
  </w:endnote>
  <w:endnote w:type="continuationNotice" w:id="1">
    <w:p w:rsidR="00E23B14" w:rsidRDefault="00E23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14" w:rsidRDefault="00E23B14">
    <w:pPr>
      <w:pStyle w:val="Stopka"/>
      <w:jc w:val="right"/>
    </w:pPr>
    <w:r>
      <w:fldChar w:fldCharType="begin"/>
    </w:r>
    <w:r>
      <w:instrText xml:space="preserve"> PAGE   \* MERGEFORMAT </w:instrText>
    </w:r>
    <w:r>
      <w:fldChar w:fldCharType="separate"/>
    </w:r>
    <w:r w:rsidR="00E647C2">
      <w:rPr>
        <w:noProof/>
      </w:rPr>
      <w:t>34</w:t>
    </w:r>
    <w:r>
      <w:rPr>
        <w:noProof/>
      </w:rPr>
      <w:fldChar w:fldCharType="end"/>
    </w:r>
    <w:r>
      <w:rPr>
        <w:noProof/>
      </w:rPr>
      <w:t xml:space="preserve"> z </w:t>
    </w:r>
    <w:fldSimple w:instr=" NUMPAGES   \* MERGEFORMAT ">
      <w:r w:rsidR="00E647C2">
        <w:rPr>
          <w:noProof/>
        </w:rPr>
        <w:t>49</w:t>
      </w:r>
    </w:fldSimple>
  </w:p>
  <w:p w:rsidR="00E23B14" w:rsidRDefault="00E23B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14" w:rsidRDefault="00E23B14" w:rsidP="00FE74CD">
      <w:pPr>
        <w:spacing w:after="0" w:line="240" w:lineRule="auto"/>
      </w:pPr>
      <w:r>
        <w:separator/>
      </w:r>
    </w:p>
  </w:footnote>
  <w:footnote w:type="continuationSeparator" w:id="0">
    <w:p w:rsidR="00E23B14" w:rsidRDefault="00E23B14" w:rsidP="00FE74CD">
      <w:pPr>
        <w:spacing w:after="0" w:line="240" w:lineRule="auto"/>
      </w:pPr>
      <w:r>
        <w:continuationSeparator/>
      </w:r>
    </w:p>
  </w:footnote>
  <w:footnote w:type="continuationNotice" w:id="1">
    <w:p w:rsidR="00E23B14" w:rsidRDefault="00E23B14">
      <w:pPr>
        <w:spacing w:after="0" w:line="240" w:lineRule="auto"/>
      </w:pPr>
    </w:p>
  </w:footnote>
  <w:footnote w:id="2">
    <w:p w:rsidR="00E23B14" w:rsidRPr="009C03AA" w:rsidRDefault="00E23B14">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rsidR="00E23B14" w:rsidRPr="00C56E86" w:rsidRDefault="00E23B14"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rsidR="00E23B14" w:rsidRPr="00E2168F" w:rsidRDefault="00E23B14"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rsidR="00E23B14" w:rsidRPr="0037470A" w:rsidRDefault="00E23B14"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04E"/>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92F"/>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2FFF"/>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B14"/>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7C2"/>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6C66"/>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5F4A"/>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A7185-9D8E-4527-B405-C21874F7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0</TotalTime>
  <Pages>49</Pages>
  <Words>15733</Words>
  <Characters>94402</Characters>
  <Application>Microsoft Office Word</Application>
  <DocSecurity>4</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109916</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Tyszkiewicz Marcin</cp:lastModifiedBy>
  <cp:revision>2</cp:revision>
  <cp:lastPrinted>2020-01-22T12:08:00Z</cp:lastPrinted>
  <dcterms:created xsi:type="dcterms:W3CDTF">2020-07-22T08:06:00Z</dcterms:created>
  <dcterms:modified xsi:type="dcterms:W3CDTF">2020-07-22T08:06:00Z</dcterms:modified>
</cp:coreProperties>
</file>