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EF" w:rsidRPr="00834223" w:rsidRDefault="001044EF" w:rsidP="00D051FC">
      <w:pPr>
        <w:keepNext/>
        <w:spacing w:before="240" w:after="60" w:line="276" w:lineRule="auto"/>
        <w:ind w:left="576"/>
        <w:outlineLvl w:val="1"/>
        <w:rPr>
          <w:rFonts w:ascii="Cambria" w:eastAsia="Times New Roman" w:hAnsi="Cambria" w:cs="Times New Roman"/>
          <w:bCs/>
          <w:iCs/>
          <w:lang w:eastAsia="pl-PL"/>
        </w:rPr>
      </w:pPr>
      <w:bookmarkStart w:id="0" w:name="_Toc485108595"/>
      <w:bookmarkStart w:id="1" w:name="_Toc525566709"/>
      <w:bookmarkStart w:id="2" w:name="_GoBack"/>
      <w:bookmarkEnd w:id="2"/>
      <w:r w:rsidRPr="00834223">
        <w:rPr>
          <w:rFonts w:ascii="Cambria" w:eastAsia="Times New Roman" w:hAnsi="Cambria" w:cs="Times New Roman"/>
          <w:bCs/>
          <w:iCs/>
          <w:lang w:eastAsia="pl-PL"/>
        </w:rPr>
        <w:t>Załącznik nr 1</w:t>
      </w:r>
    </w:p>
    <w:p w:rsidR="00D051FC" w:rsidRPr="00834223" w:rsidRDefault="00D051FC" w:rsidP="00834223">
      <w:pPr>
        <w:keepNext/>
        <w:spacing w:before="240" w:after="60" w:line="276" w:lineRule="auto"/>
        <w:ind w:left="576"/>
        <w:outlineLvl w:val="1"/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pl-PL"/>
        </w:rPr>
      </w:pPr>
      <w:r w:rsidRPr="00834223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pl-PL"/>
        </w:rPr>
        <w:t>1.1 Kryteria dotyczące pomocy publicznej</w:t>
      </w:r>
      <w:bookmarkEnd w:id="0"/>
      <w:bookmarkEnd w:id="1"/>
    </w:p>
    <w:tbl>
      <w:tblPr>
        <w:tblpPr w:leftFromText="141" w:rightFromText="141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 1.1 Kryteria dotyczące pomocy publicznej"/>
        <w:tblDescription w:val=" 1.1 Kryteria dotyczące pomocy publicznej"/>
      </w:tblPr>
      <w:tblGrid>
        <w:gridCol w:w="604"/>
        <w:gridCol w:w="3266"/>
        <w:gridCol w:w="7422"/>
        <w:gridCol w:w="1274"/>
        <w:gridCol w:w="1428"/>
      </w:tblGrid>
      <w:tr w:rsidR="00211A1C" w:rsidRPr="00326EE1" w:rsidTr="00211A1C">
        <w:tc>
          <w:tcPr>
            <w:tcW w:w="227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26EE1">
              <w:rPr>
                <w:rFonts w:eastAsia="Calibri" w:cs="Times New Roman"/>
                <w:b/>
              </w:rPr>
              <w:t>L.p.</w:t>
            </w:r>
          </w:p>
        </w:tc>
        <w:tc>
          <w:tcPr>
            <w:tcW w:w="1178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26EE1">
              <w:rPr>
                <w:rFonts w:eastAsia="Calibri" w:cs="Times New Roman"/>
                <w:b/>
              </w:rPr>
              <w:t>Kryterium szczegółowe</w:t>
            </w:r>
          </w:p>
        </w:tc>
        <w:tc>
          <w:tcPr>
            <w:tcW w:w="2663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26EE1">
              <w:rPr>
                <w:rFonts w:eastAsia="Calibri" w:cs="Times New Roman"/>
                <w:b/>
              </w:rPr>
              <w:t>Opis kryterium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26EE1">
              <w:rPr>
                <w:rFonts w:eastAsia="Calibri" w:cs="Times New Roman"/>
                <w:b/>
              </w:rPr>
              <w:t xml:space="preserve">Punktacja 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Możliwość uzupełnienia </w:t>
            </w:r>
          </w:p>
        </w:tc>
      </w:tr>
      <w:tr w:rsidR="00211A1C" w:rsidRPr="00326EE1" w:rsidTr="00211A1C">
        <w:tc>
          <w:tcPr>
            <w:tcW w:w="227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1.</w:t>
            </w:r>
          </w:p>
        </w:tc>
        <w:tc>
          <w:tcPr>
            <w:tcW w:w="1178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Kwalifikowalność Wnioskodawcy </w:t>
            </w:r>
          </w:p>
        </w:tc>
        <w:tc>
          <w:tcPr>
            <w:tcW w:w="2663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Kryterium ma potwierdzić, iż podmiot może aplikować o daną kategorię pomocy, nie jest wykluczony na mocy przepisów prawa polskiego i unijnego oraz należy do kręgu podmiotów uprawnionych do aplikowania wskazanych w Regulaminie konkursu ( w szczególności na podstawie Rozporządzenia Komisji (UE) nr 651/2014 lub rozporządzenia nr KE 1407/13 dotyczącego stosowania pomocy de minimis.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0/1</w:t>
            </w:r>
          </w:p>
        </w:tc>
        <w:tc>
          <w:tcPr>
            <w:tcW w:w="466" w:type="pct"/>
            <w:tcBorders>
              <w:right w:val="single" w:sz="4" w:space="0" w:color="auto"/>
            </w:tcBorders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TAK</w:t>
            </w:r>
          </w:p>
        </w:tc>
      </w:tr>
      <w:tr w:rsidR="00211A1C" w:rsidRPr="00326EE1" w:rsidTr="00211A1C">
        <w:tc>
          <w:tcPr>
            <w:tcW w:w="227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2.</w:t>
            </w:r>
          </w:p>
        </w:tc>
        <w:tc>
          <w:tcPr>
            <w:tcW w:w="1178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Cel i przedmiot projektu zgodny z przeznaczeniem pomocy/kategorią pomocy </w:t>
            </w:r>
          </w:p>
        </w:tc>
        <w:tc>
          <w:tcPr>
            <w:tcW w:w="2663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W ramach kryterium weryfikowana jest zgodność projektu z celem, przeznaczeniem oraz warunkami dopuszczalności danego rodzaju pomocy określonymi we właściwych podstawach prawnych udzielenia pomocy, w szczególności na podstawie Rozporządzenia Komisji (UE) nr 651/2014.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0/1</w:t>
            </w:r>
          </w:p>
        </w:tc>
        <w:tc>
          <w:tcPr>
            <w:tcW w:w="466" w:type="pct"/>
            <w:tcBorders>
              <w:right w:val="single" w:sz="4" w:space="0" w:color="auto"/>
            </w:tcBorders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TAK </w:t>
            </w:r>
          </w:p>
        </w:tc>
      </w:tr>
      <w:tr w:rsidR="00211A1C" w:rsidRPr="00326EE1" w:rsidTr="00211A1C">
        <w:tc>
          <w:tcPr>
            <w:tcW w:w="227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3.</w:t>
            </w:r>
          </w:p>
        </w:tc>
        <w:tc>
          <w:tcPr>
            <w:tcW w:w="1178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Potencjalna kwalifikowalność wydatków</w:t>
            </w:r>
          </w:p>
        </w:tc>
        <w:tc>
          <w:tcPr>
            <w:tcW w:w="2663" w:type="pct"/>
            <w:shd w:val="clear" w:color="auto" w:fill="auto"/>
          </w:tcPr>
          <w:p w:rsidR="00211A1C" w:rsidRPr="00326EE1" w:rsidRDefault="00211A1C" w:rsidP="002C7F46">
            <w:pPr>
              <w:spacing w:after="200" w:line="276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  <w:iCs/>
              </w:rPr>
              <w:t>W ramach kryterium ocenie podlegać będzie czy wydatki ujęte jako kwalifikowalne w projekcie spełniają warunki kwalifikowalności wskazane we właściwej pods</w:t>
            </w:r>
            <w:r>
              <w:rPr>
                <w:rFonts w:eastAsia="Calibri" w:cs="Times New Roman"/>
                <w:iCs/>
              </w:rPr>
              <w:t>tawie prawnej udzielenia pomocy.</w:t>
            </w:r>
            <w:r w:rsidRPr="00326EE1" w:rsidDel="00995D7C">
              <w:rPr>
                <w:rFonts w:eastAsia="Calibri" w:cs="Times New Roman"/>
              </w:rPr>
              <w:t xml:space="preserve"> </w:t>
            </w:r>
          </w:p>
        </w:tc>
        <w:tc>
          <w:tcPr>
            <w:tcW w:w="466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0/1</w:t>
            </w:r>
          </w:p>
        </w:tc>
        <w:tc>
          <w:tcPr>
            <w:tcW w:w="466" w:type="pct"/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TAK </w:t>
            </w:r>
          </w:p>
        </w:tc>
      </w:tr>
      <w:tr w:rsidR="00211A1C" w:rsidRPr="00326EE1" w:rsidTr="00211A1C">
        <w:tc>
          <w:tcPr>
            <w:tcW w:w="227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4.</w:t>
            </w:r>
          </w:p>
        </w:tc>
        <w:tc>
          <w:tcPr>
            <w:tcW w:w="1178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Intensywność i maksymalna wartość pomocy oraz procentowy poziom dofinansowania </w:t>
            </w:r>
          </w:p>
        </w:tc>
        <w:tc>
          <w:tcPr>
            <w:tcW w:w="2663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W ramach kryterium weryfikowane będzie w szczególności:</w:t>
            </w:r>
          </w:p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- weryfikacja dopuszczalnej intensywności pomocy oraz zasad kumulacji pomocy;</w:t>
            </w:r>
          </w:p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- weryfikacja dopuszczalnego pułapu wsparcia oraz zasad kumulacji w ramach pomocy de minimis;</w:t>
            </w:r>
          </w:p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- właściwy poziom procentowy dofinansowania wynikający z danego programu pomocowego przy uwzględnieniu rodzaju pomocy oraz wielkości przedsiębiorstwa. </w:t>
            </w:r>
          </w:p>
        </w:tc>
        <w:tc>
          <w:tcPr>
            <w:tcW w:w="466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0/1</w:t>
            </w:r>
          </w:p>
        </w:tc>
        <w:tc>
          <w:tcPr>
            <w:tcW w:w="466" w:type="pct"/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TAK </w:t>
            </w:r>
          </w:p>
        </w:tc>
      </w:tr>
      <w:tr w:rsidR="00211A1C" w:rsidRPr="00326EE1" w:rsidTr="00211A1C">
        <w:tc>
          <w:tcPr>
            <w:tcW w:w="227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5.</w:t>
            </w:r>
          </w:p>
        </w:tc>
        <w:tc>
          <w:tcPr>
            <w:tcW w:w="1178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Dodatkowe obowiązki warunkujące zgodność wsparcia w świetle postanowień podstaw prawnych udzielania pomocy </w:t>
            </w:r>
          </w:p>
        </w:tc>
        <w:tc>
          <w:tcPr>
            <w:tcW w:w="2663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Kryterium ma sprawdzić, czy Beneficjent spełnia dodatkowe szczegółowe warunki otrzymania pomocy określone we właściwym rozporządzeniu MR, rozporządzeniu Komisji Europejskiej lub innym akcie unijnym i każdorazowo zdefiniowane w Regulaminie konkursu. </w:t>
            </w:r>
          </w:p>
        </w:tc>
        <w:tc>
          <w:tcPr>
            <w:tcW w:w="466" w:type="pct"/>
            <w:shd w:val="clear" w:color="auto" w:fill="auto"/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0/1</w:t>
            </w:r>
          </w:p>
        </w:tc>
        <w:tc>
          <w:tcPr>
            <w:tcW w:w="466" w:type="pct"/>
          </w:tcPr>
          <w:p w:rsidR="00211A1C" w:rsidRPr="00326EE1" w:rsidRDefault="00211A1C" w:rsidP="002C7F4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TAK </w:t>
            </w:r>
          </w:p>
        </w:tc>
      </w:tr>
    </w:tbl>
    <w:p w:rsidR="00B42BEE" w:rsidRDefault="00B42BEE" w:rsidP="00211A1C"/>
    <w:p w:rsidR="00B42BEE" w:rsidRPr="00322F67" w:rsidRDefault="00B42BEE" w:rsidP="00B42BEE">
      <w:pPr>
        <w:spacing w:before="360" w:after="360"/>
        <w:outlineLvl w:val="1"/>
        <w:rPr>
          <w:b/>
          <w:spacing w:val="5"/>
          <w:sz w:val="22"/>
          <w:szCs w:val="22"/>
        </w:rPr>
      </w:pPr>
      <w:bookmarkStart w:id="3" w:name="_Toc528308784"/>
      <w:r w:rsidRPr="00322F67">
        <w:rPr>
          <w:b/>
          <w:spacing w:val="5"/>
          <w:sz w:val="22"/>
          <w:szCs w:val="22"/>
        </w:rPr>
        <w:lastRenderedPageBreak/>
        <w:t>3.</w:t>
      </w:r>
      <w:bookmarkStart w:id="4" w:name="_Toc485108597"/>
      <w:r w:rsidRPr="00322F67">
        <w:rPr>
          <w:b/>
          <w:spacing w:val="5"/>
          <w:sz w:val="22"/>
          <w:szCs w:val="22"/>
        </w:rPr>
        <w:t>KRYTERIA MERYTORYCZNE OGÓLNE</w:t>
      </w:r>
      <w:bookmarkEnd w:id="3"/>
      <w:bookmarkEnd w:id="4"/>
    </w:p>
    <w:p w:rsidR="00B42BEE" w:rsidRPr="00B42BEE" w:rsidRDefault="00B42BEE" w:rsidP="00B42BEE">
      <w:pPr>
        <w:spacing w:after="0" w:line="240" w:lineRule="auto"/>
        <w:rPr>
          <w:rFonts w:eastAsia="Calibri" w:cs="Calibri"/>
          <w:b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2. KRYTERIA MERYTORYCZNE OGÓLNE"/>
        <w:tblDescription w:val="2. KRYTERIA MERYTORYCZNE OGÓLNE"/>
      </w:tblPr>
      <w:tblGrid>
        <w:gridCol w:w="516"/>
        <w:gridCol w:w="2475"/>
        <w:gridCol w:w="8459"/>
        <w:gridCol w:w="1161"/>
        <w:gridCol w:w="1383"/>
      </w:tblGrid>
      <w:tr w:rsidR="00B42BEE" w:rsidRPr="00B42BEE" w:rsidTr="00F43ED4">
        <w:tc>
          <w:tcPr>
            <w:tcW w:w="184" w:type="pct"/>
          </w:tcPr>
          <w:p w:rsidR="00B42BEE" w:rsidRPr="00B42BEE" w:rsidRDefault="00B42BEE" w:rsidP="00B42BEE">
            <w:pPr>
              <w:keepNext/>
              <w:spacing w:after="0" w:line="240" w:lineRule="auto"/>
              <w:rPr>
                <w:rFonts w:eastAsia="Calibri" w:cs="Times New Roman"/>
                <w:b/>
              </w:rPr>
            </w:pPr>
            <w:r w:rsidRPr="00B42BEE">
              <w:rPr>
                <w:rFonts w:eastAsia="Calibri" w:cs="Times New Roman"/>
                <w:b/>
              </w:rPr>
              <w:t>Lp.</w:t>
            </w:r>
          </w:p>
        </w:tc>
        <w:tc>
          <w:tcPr>
            <w:tcW w:w="944" w:type="pct"/>
          </w:tcPr>
          <w:p w:rsidR="00B42BEE" w:rsidRPr="00B42BEE" w:rsidRDefault="00B42BEE" w:rsidP="00B42BEE">
            <w:pPr>
              <w:keepNext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BEE">
              <w:rPr>
                <w:rFonts w:eastAsia="Calibri" w:cs="Times New Roman"/>
                <w:b/>
              </w:rPr>
              <w:t>Nazwa kryterium</w:t>
            </w:r>
          </w:p>
        </w:tc>
        <w:tc>
          <w:tcPr>
            <w:tcW w:w="3082" w:type="pct"/>
          </w:tcPr>
          <w:p w:rsidR="00B42BEE" w:rsidRPr="00B42BEE" w:rsidRDefault="00B42BEE" w:rsidP="00B42BEE">
            <w:pPr>
              <w:keepNext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BEE">
              <w:rPr>
                <w:rFonts w:eastAsia="Calibri" w:cs="Times New Roman"/>
                <w:b/>
              </w:rPr>
              <w:t>Opis kryterium</w:t>
            </w:r>
          </w:p>
        </w:tc>
        <w:tc>
          <w:tcPr>
            <w:tcW w:w="415" w:type="pct"/>
          </w:tcPr>
          <w:p w:rsidR="00B42BEE" w:rsidRPr="00B42BEE" w:rsidRDefault="00B42BEE" w:rsidP="00B42BEE">
            <w:pPr>
              <w:keepNext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BEE">
              <w:rPr>
                <w:rFonts w:eastAsia="Calibri" w:cs="Times New Roman"/>
                <w:b/>
              </w:rPr>
              <w:t>Punktacja</w:t>
            </w:r>
          </w:p>
        </w:tc>
        <w:tc>
          <w:tcPr>
            <w:tcW w:w="375" w:type="pct"/>
          </w:tcPr>
          <w:p w:rsidR="00B42BEE" w:rsidRPr="00B42BEE" w:rsidRDefault="00B42BEE" w:rsidP="00B42BEE">
            <w:pPr>
              <w:keepNext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BEE">
              <w:rPr>
                <w:rFonts w:eastAsia="Calibri" w:cs="Times New Roman"/>
                <w:b/>
              </w:rPr>
              <w:t xml:space="preserve">Możliwość poprawienia </w:t>
            </w:r>
          </w:p>
        </w:tc>
      </w:tr>
      <w:tr w:rsidR="00B42BEE" w:rsidRPr="00B42BEE" w:rsidTr="00F43ED4">
        <w:trPr>
          <w:trHeight w:val="2396"/>
        </w:trPr>
        <w:tc>
          <w:tcPr>
            <w:tcW w:w="184" w:type="pct"/>
          </w:tcPr>
          <w:p w:rsidR="00B42BEE" w:rsidRPr="00B42BEE" w:rsidRDefault="00B42BEE" w:rsidP="00B42BEE">
            <w:pPr>
              <w:spacing w:after="0" w:line="240" w:lineRule="auto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1.</w:t>
            </w:r>
          </w:p>
        </w:tc>
        <w:tc>
          <w:tcPr>
            <w:tcW w:w="944" w:type="pct"/>
          </w:tcPr>
          <w:p w:rsidR="00B42BEE" w:rsidRPr="00B42BEE" w:rsidRDefault="00B42BEE" w:rsidP="00B42BEE">
            <w:pPr>
              <w:spacing w:after="0" w:line="240" w:lineRule="auto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 xml:space="preserve">Wykonalność finansowa </w:t>
            </w:r>
          </w:p>
        </w:tc>
        <w:tc>
          <w:tcPr>
            <w:tcW w:w="3082" w:type="pct"/>
          </w:tcPr>
          <w:p w:rsidR="00B42BEE" w:rsidRPr="00B42BEE" w:rsidRDefault="00B42BEE" w:rsidP="00B42BEE">
            <w:pPr>
              <w:spacing w:before="120" w:after="120" w:line="240" w:lineRule="auto"/>
              <w:ind w:left="720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W ramach kryterium ocenie podlegać będzie:</w:t>
            </w:r>
          </w:p>
          <w:p w:rsidR="00B42BEE" w:rsidRPr="00B42BEE" w:rsidRDefault="00B42BEE" w:rsidP="00B42BE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czy założenia do analizy finansowej i ekonomicznej są poprawne i rzetelne;</w:t>
            </w:r>
          </w:p>
          <w:p w:rsidR="00B42BEE" w:rsidRPr="00B42BEE" w:rsidRDefault="00B42BEE" w:rsidP="00B42BE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harmonogram rzeczowo-finansowy projektu umożliwia prawidłową i terminową realizację przedsięwzięcia;</w:t>
            </w:r>
          </w:p>
          <w:p w:rsidR="00B42BEE" w:rsidRPr="00B42BEE" w:rsidRDefault="00B42BEE" w:rsidP="00B42BEE">
            <w:pPr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Wpływ na wykonalność finansową korekty finansowej będącej wynikiem przeprowadzonej i zakończonej do dnia przeprowadzania oceny kontroli prawidłowości realizacji zamówień w ramach projektu (jeśli dotyczy).</w:t>
            </w:r>
          </w:p>
        </w:tc>
        <w:tc>
          <w:tcPr>
            <w:tcW w:w="415" w:type="pct"/>
            <w:vAlign w:val="center"/>
          </w:tcPr>
          <w:p w:rsidR="00B42BEE" w:rsidRPr="00B42BEE" w:rsidRDefault="00B42BEE" w:rsidP="00B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0/1</w:t>
            </w:r>
          </w:p>
        </w:tc>
        <w:tc>
          <w:tcPr>
            <w:tcW w:w="375" w:type="pct"/>
          </w:tcPr>
          <w:p w:rsidR="00B42BEE" w:rsidRPr="00B42BEE" w:rsidRDefault="00B42BEE" w:rsidP="00B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TAK</w:t>
            </w:r>
          </w:p>
        </w:tc>
      </w:tr>
      <w:tr w:rsidR="00B42BEE" w:rsidRPr="00B42BEE" w:rsidTr="00F43ED4">
        <w:trPr>
          <w:trHeight w:val="1510"/>
        </w:trPr>
        <w:tc>
          <w:tcPr>
            <w:tcW w:w="184" w:type="pct"/>
          </w:tcPr>
          <w:p w:rsidR="00B42BEE" w:rsidRPr="00B42BEE" w:rsidRDefault="00B42BEE" w:rsidP="00B42BEE">
            <w:pPr>
              <w:spacing w:after="0" w:line="240" w:lineRule="auto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2.</w:t>
            </w:r>
          </w:p>
        </w:tc>
        <w:tc>
          <w:tcPr>
            <w:tcW w:w="944" w:type="pct"/>
          </w:tcPr>
          <w:p w:rsidR="00B42BEE" w:rsidRPr="00B42BEE" w:rsidRDefault="00B42BEE" w:rsidP="00B42BEE">
            <w:pPr>
              <w:spacing w:after="0" w:line="240" w:lineRule="auto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Wykonalność organizacyjna (kadrowa) techniczna i technologiczna</w:t>
            </w:r>
          </w:p>
        </w:tc>
        <w:tc>
          <w:tcPr>
            <w:tcW w:w="3082" w:type="pct"/>
          </w:tcPr>
          <w:p w:rsidR="00B42BEE" w:rsidRPr="00B42BEE" w:rsidRDefault="00B42BEE" w:rsidP="00B42BEE">
            <w:pPr>
              <w:spacing w:beforeLines="80" w:before="192" w:line="276" w:lineRule="auto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W ramach kryterium ocenie będzie podlegać, czy przyjęte założenia potwierdzają, że projekt jest wykonalny:</w:t>
            </w:r>
          </w:p>
          <w:p w:rsidR="00B42BEE" w:rsidRPr="00B42BEE" w:rsidRDefault="00B42BEE" w:rsidP="00B42BEE">
            <w:pPr>
              <w:numPr>
                <w:ilvl w:val="0"/>
                <w:numId w:val="2"/>
              </w:numPr>
              <w:spacing w:beforeLines="80" w:before="192" w:line="276" w:lineRule="auto"/>
              <w:contextualSpacing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 xml:space="preserve">technicznie; </w:t>
            </w:r>
          </w:p>
          <w:p w:rsidR="00B42BEE" w:rsidRPr="00B42BEE" w:rsidRDefault="00B42BEE" w:rsidP="00B42BEE">
            <w:pPr>
              <w:numPr>
                <w:ilvl w:val="0"/>
                <w:numId w:val="2"/>
              </w:numPr>
              <w:spacing w:beforeLines="80" w:before="192" w:line="276" w:lineRule="auto"/>
              <w:contextualSpacing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technologicznie;</w:t>
            </w:r>
          </w:p>
          <w:p w:rsidR="00B42BEE" w:rsidRPr="00B42BEE" w:rsidRDefault="00B42BEE" w:rsidP="00B42BEE">
            <w:pPr>
              <w:numPr>
                <w:ilvl w:val="0"/>
                <w:numId w:val="2"/>
              </w:numPr>
              <w:spacing w:beforeLines="80" w:before="192" w:line="276" w:lineRule="auto"/>
              <w:contextualSpacing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 xml:space="preserve">organizacyjnie. </w:t>
            </w:r>
          </w:p>
          <w:p w:rsidR="00B42BEE" w:rsidRPr="00B42BEE" w:rsidRDefault="00B42BEE" w:rsidP="00B42BEE">
            <w:pPr>
              <w:numPr>
                <w:ilvl w:val="0"/>
                <w:numId w:val="2"/>
              </w:numPr>
              <w:spacing w:beforeLines="80" w:before="192" w:line="276" w:lineRule="auto"/>
              <w:contextualSpacing/>
              <w:rPr>
                <w:rFonts w:eastAsia="Calibri" w:cs="Arial"/>
              </w:rPr>
            </w:pPr>
            <w:r w:rsidRPr="00B42BEE">
              <w:rPr>
                <w:rFonts w:eastAsia="Calibri" w:cs="Times New Roman"/>
              </w:rPr>
              <w:t>czy przedstawiono rzetelną analizę alternatywnych rozwiązań realizacji projektu i czy wybrano najkorzystniejsze rozwiązania (jeśli dotyczy).</w:t>
            </w:r>
          </w:p>
        </w:tc>
        <w:tc>
          <w:tcPr>
            <w:tcW w:w="415" w:type="pct"/>
            <w:vAlign w:val="center"/>
          </w:tcPr>
          <w:p w:rsidR="00B42BEE" w:rsidRPr="00B42BEE" w:rsidRDefault="00B42BEE" w:rsidP="00B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0/1</w:t>
            </w:r>
          </w:p>
        </w:tc>
        <w:tc>
          <w:tcPr>
            <w:tcW w:w="375" w:type="pct"/>
          </w:tcPr>
          <w:p w:rsidR="00B42BEE" w:rsidRPr="00B42BEE" w:rsidRDefault="00B42BEE" w:rsidP="00B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 xml:space="preserve">TAK </w:t>
            </w:r>
          </w:p>
        </w:tc>
      </w:tr>
      <w:tr w:rsidR="00B42BEE" w:rsidRPr="00B42BEE" w:rsidTr="00F43ED4">
        <w:trPr>
          <w:trHeight w:val="1934"/>
        </w:trPr>
        <w:tc>
          <w:tcPr>
            <w:tcW w:w="184" w:type="pct"/>
          </w:tcPr>
          <w:p w:rsidR="00B42BEE" w:rsidRPr="00B42BEE" w:rsidRDefault="00B42BEE" w:rsidP="00B42BEE">
            <w:pPr>
              <w:spacing w:after="0" w:line="240" w:lineRule="auto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3.</w:t>
            </w:r>
          </w:p>
        </w:tc>
        <w:tc>
          <w:tcPr>
            <w:tcW w:w="944" w:type="pct"/>
          </w:tcPr>
          <w:p w:rsidR="00B42BEE" w:rsidRPr="00B42BEE" w:rsidRDefault="00B42BEE" w:rsidP="00B4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Efektywność</w:t>
            </w:r>
            <w:r w:rsidRPr="00B42BEE">
              <w:rPr>
                <w:rFonts w:eastAsia="Calibri" w:cs="Times New Roman"/>
              </w:rPr>
              <w:br/>
              <w:t>projektu</w:t>
            </w:r>
          </w:p>
        </w:tc>
        <w:tc>
          <w:tcPr>
            <w:tcW w:w="3082" w:type="pct"/>
          </w:tcPr>
          <w:p w:rsidR="00B42BEE" w:rsidRPr="00B42BEE" w:rsidRDefault="00B42BEE" w:rsidP="00B42BEE">
            <w:pPr>
              <w:spacing w:beforeLines="80" w:before="192" w:line="276" w:lineRule="auto"/>
              <w:rPr>
                <w:rFonts w:eastAsia="Calibri" w:cs="Calibri"/>
              </w:rPr>
            </w:pPr>
            <w:r w:rsidRPr="00B42BEE">
              <w:rPr>
                <w:rFonts w:eastAsia="Calibri" w:cs="Times New Roman"/>
              </w:rPr>
              <w:t xml:space="preserve">W ramach kryterium ocenie będzie podlegać </w:t>
            </w:r>
            <w:r w:rsidRPr="00B42BEE">
              <w:rPr>
                <w:rFonts w:eastAsia="Calibri" w:cs="Calibri"/>
              </w:rPr>
              <w:t>czy przyjęte założenia pozwolą na osiągnięcie wskaźników na zaplanowanym poziomie.</w:t>
            </w:r>
          </w:p>
          <w:p w:rsidR="00B42BEE" w:rsidRPr="00B42BEE" w:rsidRDefault="00B42BEE" w:rsidP="00B42BEE">
            <w:pPr>
              <w:spacing w:beforeLines="80" w:before="192" w:line="276" w:lineRule="auto"/>
              <w:rPr>
                <w:rFonts w:eastAsia="Calibri" w:cs="Calibri"/>
              </w:rPr>
            </w:pPr>
            <w:r w:rsidRPr="00B42BEE">
              <w:rPr>
                <w:rFonts w:eastAsia="Times New Roman" w:cs="Times New Roman"/>
                <w:szCs w:val="24"/>
                <w:lang w:eastAsia="ar-SA"/>
              </w:rPr>
              <w:t xml:space="preserve">Jednoczenie w ramach kryterium ocenie podlegać będzie realizacja koncepcji uniwersalnego projektowania w odniesieniu do zapisów Wytycznych zakresie realizacji zasady równości szans i niedyskryminacji, w tym dostępności dla osób z niepełnosprawnościami oraz zasady równości szans kobiet i mężczyzn w ramach funduszy unijnych na lata 2014-2020. </w:t>
            </w:r>
          </w:p>
        </w:tc>
        <w:tc>
          <w:tcPr>
            <w:tcW w:w="415" w:type="pct"/>
            <w:vAlign w:val="center"/>
          </w:tcPr>
          <w:p w:rsidR="00B42BEE" w:rsidRPr="00B42BEE" w:rsidRDefault="00B42BEE" w:rsidP="00B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>0/1</w:t>
            </w:r>
          </w:p>
        </w:tc>
        <w:tc>
          <w:tcPr>
            <w:tcW w:w="375" w:type="pct"/>
          </w:tcPr>
          <w:p w:rsidR="00B42BEE" w:rsidRPr="00B42BEE" w:rsidRDefault="00B42BEE" w:rsidP="00B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BEE">
              <w:rPr>
                <w:rFonts w:eastAsia="Calibri" w:cs="Times New Roman"/>
              </w:rPr>
              <w:t xml:space="preserve">TAK </w:t>
            </w:r>
          </w:p>
        </w:tc>
      </w:tr>
    </w:tbl>
    <w:p w:rsidR="0054045F" w:rsidRDefault="0054045F" w:rsidP="003F3CFC">
      <w:pPr>
        <w:spacing w:before="0" w:after="160" w:line="259" w:lineRule="auto"/>
      </w:pPr>
    </w:p>
    <w:sectPr w:rsidR="0054045F" w:rsidSect="00D051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783"/>
    <w:multiLevelType w:val="hybridMultilevel"/>
    <w:tmpl w:val="82D238C6"/>
    <w:lvl w:ilvl="0" w:tplc="5A8AB2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FC"/>
    <w:rsid w:val="001044EF"/>
    <w:rsid w:val="00211A1C"/>
    <w:rsid w:val="00262700"/>
    <w:rsid w:val="002E646E"/>
    <w:rsid w:val="00322F67"/>
    <w:rsid w:val="003F3CFC"/>
    <w:rsid w:val="0054045F"/>
    <w:rsid w:val="00613222"/>
    <w:rsid w:val="00834223"/>
    <w:rsid w:val="00AC607E"/>
    <w:rsid w:val="00B42BEE"/>
    <w:rsid w:val="00BC5545"/>
    <w:rsid w:val="00BE274E"/>
    <w:rsid w:val="00D0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E3E83-FC8B-4320-A2CA-7EBF46C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1FC"/>
    <w:pPr>
      <w:spacing w:before="80" w:after="80" w:line="312" w:lineRule="auto"/>
    </w:pPr>
    <w:rPr>
      <w:rFonts w:ascii="Arial" w:eastAsiaTheme="minorEastAsia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422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22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099DE-1C60-4472-B241-31FBD823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Pączkowska Magdalena</dc:creator>
  <cp:keywords/>
  <dc:description/>
  <cp:lastModifiedBy>Staniaszek Waldemar</cp:lastModifiedBy>
  <cp:revision>6</cp:revision>
  <cp:lastPrinted>2018-10-26T13:01:00Z</cp:lastPrinted>
  <dcterms:created xsi:type="dcterms:W3CDTF">2018-11-13T11:54:00Z</dcterms:created>
  <dcterms:modified xsi:type="dcterms:W3CDTF">2019-01-18T11:17:00Z</dcterms:modified>
</cp:coreProperties>
</file>