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E8264" w14:textId="77777777" w:rsidR="003F39E1" w:rsidRPr="00326EE1" w:rsidRDefault="003F39E1" w:rsidP="003F39E1">
      <w:pPr>
        <w:keepNext/>
        <w:spacing w:before="240" w:after="36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</w:pPr>
      <w:bookmarkStart w:id="0" w:name="_GoBack"/>
      <w:bookmarkEnd w:id="0"/>
    </w:p>
    <w:p w14:paraId="78AD28F7" w14:textId="77777777" w:rsidR="0094612D" w:rsidRPr="00326EE1" w:rsidRDefault="0094612D" w:rsidP="0094612D">
      <w:pPr>
        <w:keepNext/>
        <w:spacing w:before="240" w:after="36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</w:pPr>
      <w:bookmarkStart w:id="1" w:name="_Toc485108594"/>
      <w:bookmarkStart w:id="2" w:name="_Toc517248144"/>
      <w:r w:rsidRPr="00326EE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  <w:t>1. KRYTERIA FORMALNE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1. KRYTERIA FORMALNE"/>
        <w:tblDescription w:val="1. KRYTERIA FORMALNE"/>
      </w:tblPr>
      <w:tblGrid>
        <w:gridCol w:w="516"/>
        <w:gridCol w:w="3953"/>
        <w:gridCol w:w="6800"/>
        <w:gridCol w:w="1161"/>
        <w:gridCol w:w="1564"/>
      </w:tblGrid>
      <w:tr w:rsidR="0094612D" w:rsidRPr="00326EE1" w14:paraId="66A8E267" w14:textId="77777777" w:rsidTr="002A2C75">
        <w:trPr>
          <w:tblHeader/>
        </w:trPr>
        <w:tc>
          <w:tcPr>
            <w:tcW w:w="0" w:type="auto"/>
          </w:tcPr>
          <w:p w14:paraId="2609887D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Lp.</w:t>
            </w:r>
          </w:p>
        </w:tc>
        <w:tc>
          <w:tcPr>
            <w:tcW w:w="0" w:type="auto"/>
          </w:tcPr>
          <w:p w14:paraId="56C5E78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Nazwa kryterium</w:t>
            </w:r>
          </w:p>
        </w:tc>
        <w:tc>
          <w:tcPr>
            <w:tcW w:w="0" w:type="auto"/>
          </w:tcPr>
          <w:p w14:paraId="014FB76E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Opis kryterium</w:t>
            </w:r>
          </w:p>
        </w:tc>
        <w:tc>
          <w:tcPr>
            <w:tcW w:w="0" w:type="auto"/>
          </w:tcPr>
          <w:p w14:paraId="6A3CAFD4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Punktacja</w:t>
            </w:r>
          </w:p>
        </w:tc>
        <w:tc>
          <w:tcPr>
            <w:tcW w:w="0" w:type="auto"/>
          </w:tcPr>
          <w:p w14:paraId="3532530D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26EE1">
              <w:rPr>
                <w:rFonts w:eastAsia="Calibri" w:cs="Times New Roman"/>
                <w:b/>
              </w:rPr>
              <w:t>Możliwość uzupełnienia</w:t>
            </w:r>
          </w:p>
        </w:tc>
      </w:tr>
      <w:tr w:rsidR="0094612D" w:rsidRPr="00326EE1" w14:paraId="2877EDF0" w14:textId="77777777" w:rsidTr="002A2C75">
        <w:tc>
          <w:tcPr>
            <w:tcW w:w="0" w:type="auto"/>
          </w:tcPr>
          <w:p w14:paraId="78026A99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Pr="00326EE1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</w:tcPr>
          <w:p w14:paraId="0FC05FFA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14:paraId="622EBEFA" w14:textId="77777777" w:rsidR="0094612D" w:rsidRPr="00326EE1" w:rsidRDefault="0094612D" w:rsidP="002A2C75">
            <w:pPr>
              <w:spacing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14:paraId="36616FC3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14:paraId="530957BE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NIE</w:t>
            </w:r>
          </w:p>
        </w:tc>
      </w:tr>
      <w:tr w:rsidR="0094612D" w:rsidRPr="00326EE1" w14:paraId="1F6179F4" w14:textId="77777777" w:rsidTr="002A2C75">
        <w:tc>
          <w:tcPr>
            <w:tcW w:w="0" w:type="auto"/>
          </w:tcPr>
          <w:p w14:paraId="1BEFE8D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Pr="00326E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0" w:type="auto"/>
          </w:tcPr>
          <w:p w14:paraId="5DC3E248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Kwalifikowalność </w:t>
            </w:r>
            <w:r>
              <w:rPr>
                <w:rFonts w:eastAsia="Calibri" w:cs="Times New Roman"/>
              </w:rPr>
              <w:t>w</w:t>
            </w:r>
            <w:r w:rsidRPr="00326EE1">
              <w:rPr>
                <w:rFonts w:eastAsia="Calibri" w:cs="Times New Roman"/>
              </w:rPr>
              <w:t>nioskodawcy</w:t>
            </w:r>
          </w:p>
        </w:tc>
        <w:tc>
          <w:tcPr>
            <w:tcW w:w="0" w:type="auto"/>
          </w:tcPr>
          <w:p w14:paraId="3ECCD91F" w14:textId="77777777" w:rsidR="0094612D" w:rsidRPr="00326EE1" w:rsidRDefault="0094612D" w:rsidP="002A2C75">
            <w:pPr>
              <w:spacing w:beforeLines="80" w:before="192" w:line="276" w:lineRule="auto"/>
              <w:ind w:left="238" w:hanging="238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ocenie podlega:</w:t>
            </w:r>
          </w:p>
          <w:p w14:paraId="53B2427E" w14:textId="77777777" w:rsidR="0094612D" w:rsidRPr="00DF6849" w:rsidRDefault="0094612D" w:rsidP="0094612D">
            <w:pPr>
              <w:pStyle w:val="Akapitzlist"/>
              <w:numPr>
                <w:ilvl w:val="0"/>
                <w:numId w:val="5"/>
              </w:numPr>
              <w:spacing w:beforeLines="80" w:before="192" w:line="276" w:lineRule="auto"/>
              <w:rPr>
                <w:rFonts w:eastAsia="Calibri" w:cs="Times New Roman"/>
              </w:rPr>
            </w:pPr>
            <w:r w:rsidRPr="00DF6849">
              <w:rPr>
                <w:rFonts w:eastAsia="Calibri" w:cs="Times New Roman"/>
              </w:rPr>
              <w:t>czy kategoria wnioskodawcy jest zgodna listą podmiotów uprawnionych do ubiegania się o dofinansowanie wskazaną w Regulaminie konkursu lub Wykazem Projektów Pozakonkursowych EFRR RPO WM 2014-2020 (w przypadku projektów pozakonkursowych);</w:t>
            </w:r>
          </w:p>
          <w:p w14:paraId="78ADB981" w14:textId="77777777" w:rsidR="0094612D" w:rsidRPr="00DF6849" w:rsidRDefault="0094612D" w:rsidP="0094612D">
            <w:pPr>
              <w:pStyle w:val="Akapitzlist"/>
              <w:numPr>
                <w:ilvl w:val="0"/>
                <w:numId w:val="5"/>
              </w:numPr>
              <w:spacing w:beforeLines="80" w:before="192" w:line="276" w:lineRule="auto"/>
              <w:rPr>
                <w:rFonts w:eastAsia="Calibri" w:cs="Times New Roman"/>
              </w:rPr>
            </w:pPr>
            <w:r w:rsidRPr="00DF6849">
              <w:rPr>
                <w:rFonts w:eastAsia="Calibri" w:cs="Times New Roman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14:paraId="3BB292FC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14:paraId="4CBD909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4FCE7D49" w14:textId="77777777" w:rsidTr="002A2C75">
        <w:tc>
          <w:tcPr>
            <w:tcW w:w="0" w:type="auto"/>
          </w:tcPr>
          <w:p w14:paraId="799051D7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Pr="00326E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0" w:type="auto"/>
          </w:tcPr>
          <w:p w14:paraId="30A09AE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Kwalifikowalność projektu</w:t>
            </w:r>
          </w:p>
        </w:tc>
        <w:tc>
          <w:tcPr>
            <w:tcW w:w="0" w:type="auto"/>
          </w:tcPr>
          <w:p w14:paraId="1C630B5A" w14:textId="77777777" w:rsidR="0094612D" w:rsidRPr="00326EE1" w:rsidRDefault="0094612D" w:rsidP="002A2C75">
            <w:pPr>
              <w:spacing w:beforeLines="80" w:before="192" w:afterLines="80" w:after="192"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ocenie podlega czy:</w:t>
            </w:r>
          </w:p>
          <w:p w14:paraId="1EB72C1A" w14:textId="77777777" w:rsidR="0094612D" w:rsidRPr="00326EE1" w:rsidRDefault="0094612D" w:rsidP="0094612D">
            <w:pPr>
              <w:numPr>
                <w:ilvl w:val="0"/>
                <w:numId w:val="3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14:paraId="7423A1F5" w14:textId="77777777" w:rsidR="0094612D" w:rsidRPr="00326EE1" w:rsidRDefault="0094612D" w:rsidP="0094612D">
            <w:pPr>
              <w:numPr>
                <w:ilvl w:val="0"/>
                <w:numId w:val="3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projekt jest zgodny z celami działania/poddziałania;</w:t>
            </w:r>
          </w:p>
          <w:p w14:paraId="16091CE8" w14:textId="77777777" w:rsidR="0094612D" w:rsidRPr="00326EE1" w:rsidRDefault="0094612D" w:rsidP="0094612D">
            <w:pPr>
              <w:numPr>
                <w:ilvl w:val="0"/>
                <w:numId w:val="3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typ projektu jest zgodny z typem działania/poddziałania; </w:t>
            </w:r>
          </w:p>
          <w:p w14:paraId="76A6AF25" w14:textId="77777777" w:rsidR="0094612D" w:rsidRPr="00326EE1" w:rsidRDefault="0094612D" w:rsidP="0094612D">
            <w:pPr>
              <w:numPr>
                <w:ilvl w:val="0"/>
                <w:numId w:val="3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projekt jest zgodny z przepisami art. 65 ust. 6 i art. 125 ust. 3 lit. e) i f) Rozporządzenia Parlamentu Europejskiego i Rady (UE) nr 1303/2013 z dnia 17 grudnia 2013 r. tj.:</w:t>
            </w:r>
          </w:p>
          <w:p w14:paraId="739A077D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80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projekt nie został zakończony w rozumieniu art. 65 ust. 6,</w:t>
            </w:r>
          </w:p>
          <w:p w14:paraId="771E39B9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80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326EE1">
              <w:rPr>
                <w:rFonts w:eastAsia="Calibri" w:cs="Times New Roman"/>
                <w:vertAlign w:val="superscript"/>
              </w:rPr>
              <w:footnoteReference w:id="1"/>
            </w:r>
            <w:r w:rsidRPr="00326EE1">
              <w:rPr>
                <w:rFonts w:eastAsia="Calibri" w:cs="Times New Roman"/>
              </w:rPr>
              <w:t xml:space="preserve"> (art. 125 ust. 3 lit. e),</w:t>
            </w:r>
          </w:p>
          <w:p w14:paraId="5D995D06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80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lit. f).</w:t>
            </w:r>
          </w:p>
          <w:p w14:paraId="5F92A1E5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80"/>
              <w:rPr>
                <w:rFonts w:eastAsia="Calibri" w:cs="Times New Roman"/>
                <w:bCs/>
                <w:iCs/>
              </w:rPr>
            </w:pPr>
            <w:r w:rsidRPr="00326EE1">
              <w:rPr>
                <w:rFonts w:eastAsia="Calibri" w:cs="Times New Roman"/>
                <w:bCs/>
                <w:iCs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  <w:p w14:paraId="1759AB8E" w14:textId="77777777" w:rsidR="0094612D" w:rsidRPr="00326EE1" w:rsidRDefault="0094612D" w:rsidP="002A2C75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</w:p>
        </w:tc>
        <w:tc>
          <w:tcPr>
            <w:tcW w:w="0" w:type="auto"/>
            <w:vAlign w:val="center"/>
          </w:tcPr>
          <w:p w14:paraId="6617267F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212CD40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6C5CAAED" w14:textId="77777777" w:rsidTr="002A2C75">
        <w:tc>
          <w:tcPr>
            <w:tcW w:w="0" w:type="auto"/>
          </w:tcPr>
          <w:p w14:paraId="3FA93F92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Pr="00326E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0" w:type="auto"/>
          </w:tcPr>
          <w:p w14:paraId="5AF8AD03" w14:textId="77777777" w:rsidR="0094612D" w:rsidRPr="00326EE1" w:rsidRDefault="0094612D" w:rsidP="002A2C7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26EE1">
              <w:rPr>
                <w:rFonts w:eastAsia="Calibri" w:cs="Times New Roman"/>
              </w:rPr>
              <w:t>Kwalifikowalność wydatków</w:t>
            </w:r>
          </w:p>
        </w:tc>
        <w:tc>
          <w:tcPr>
            <w:tcW w:w="0" w:type="auto"/>
          </w:tcPr>
          <w:p w14:paraId="1112384A" w14:textId="77777777" w:rsidR="0094612D" w:rsidRPr="00326EE1" w:rsidRDefault="0094612D" w:rsidP="002A2C75">
            <w:pPr>
              <w:spacing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W ramach kryterium weryfikowana jest potencjalna kwalifikowalność wydatków </w:t>
            </w:r>
            <w:r>
              <w:rPr>
                <w:rFonts w:eastAsia="Calibri" w:cs="Times New Roman"/>
              </w:rPr>
              <w:t xml:space="preserve">planowanych do poniesienia, tj. </w:t>
            </w:r>
            <w:r w:rsidRPr="00326EE1">
              <w:rPr>
                <w:rFonts w:eastAsia="Calibri" w:cs="Times New Roman"/>
              </w:rPr>
              <w:t xml:space="preserve">czy kategorie </w:t>
            </w:r>
            <w:r>
              <w:rPr>
                <w:rFonts w:eastAsia="Calibri" w:cs="Times New Roman"/>
              </w:rPr>
              <w:t xml:space="preserve">oraz limity </w:t>
            </w:r>
            <w:r w:rsidRPr="00326EE1">
              <w:rPr>
                <w:rFonts w:eastAsia="Calibri" w:cs="Times New Roman"/>
              </w:rPr>
              <w:t xml:space="preserve">wydatków zawarte we wniosku o dofinansowanie projektu są prawidłowo </w:t>
            </w:r>
            <w:r w:rsidRPr="00326EE1">
              <w:rPr>
                <w:rFonts w:eastAsia="Calibri" w:cs="Times New Roman"/>
              </w:rPr>
              <w:lastRenderedPageBreak/>
              <w:t xml:space="preserve">określone - zgodnie z wytycznymi </w:t>
            </w:r>
            <w:r>
              <w:rPr>
                <w:rFonts w:eastAsia="Calibri" w:cs="Times New Roman"/>
              </w:rPr>
              <w:t>horyzontalnymi</w:t>
            </w:r>
            <w:r w:rsidRPr="00326EE1">
              <w:rPr>
                <w:rFonts w:eastAsia="Calibri" w:cs="Times New Roman"/>
              </w:rPr>
              <w:t xml:space="preserve"> oraz zapisami Regulaminu konkursu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3062D74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1F0A61F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0A4A664F" w14:textId="77777777" w:rsidTr="002A2C75">
        <w:tc>
          <w:tcPr>
            <w:tcW w:w="0" w:type="auto"/>
          </w:tcPr>
          <w:p w14:paraId="3A163C69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Pr="00326E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0" w:type="auto"/>
          </w:tcPr>
          <w:p w14:paraId="02185AC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Zgodność z  formularzem projektu pozakonkursowego</w:t>
            </w:r>
          </w:p>
        </w:tc>
        <w:tc>
          <w:tcPr>
            <w:tcW w:w="0" w:type="auto"/>
          </w:tcPr>
          <w:p w14:paraId="7B5FDEA1" w14:textId="77777777" w:rsidR="0094612D" w:rsidRPr="00326EE1" w:rsidRDefault="0094612D" w:rsidP="002A2C75">
            <w:pPr>
              <w:spacing w:line="276" w:lineRule="auto"/>
              <w:rPr>
                <w:rFonts w:eastAsia="Calibri" w:cs="Times New Roman"/>
              </w:rPr>
            </w:pPr>
            <w:r w:rsidRPr="00984ED6">
              <w:rPr>
                <w:rFonts w:cs="Arial"/>
                <w:iCs/>
              </w:rPr>
              <w:t>W ramach kryterium weryfikacji podlega spójność informacji zawartych we wniosku o dofinansowanie z informacjami zawartymi w formu</w:t>
            </w:r>
            <w:r>
              <w:rPr>
                <w:rFonts w:cs="Arial"/>
                <w:iCs/>
              </w:rPr>
              <w:t xml:space="preserve">larzu projektu pozakonkursowego </w:t>
            </w:r>
            <w:r>
              <w:t xml:space="preserve">(kryterium dotyczy wyłącznie projektów pozakonkursowych). </w:t>
            </w:r>
          </w:p>
        </w:tc>
        <w:tc>
          <w:tcPr>
            <w:tcW w:w="0" w:type="auto"/>
            <w:vAlign w:val="center"/>
          </w:tcPr>
          <w:p w14:paraId="27ECD23C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14:paraId="434A090F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747DE970" w14:textId="77777777" w:rsidTr="002A2C75">
        <w:tc>
          <w:tcPr>
            <w:tcW w:w="0" w:type="auto"/>
          </w:tcPr>
          <w:p w14:paraId="6343A0B7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  <w:r w:rsidRPr="00326EE1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</w:tcPr>
          <w:p w14:paraId="34797947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Specyficzne kryteria dotyczące danego działania/poddziałania</w:t>
            </w:r>
            <w:r>
              <w:rPr>
                <w:rFonts w:eastAsia="Calibri" w:cs="Times New Roman"/>
              </w:rPr>
              <w:t>/typu projektów</w:t>
            </w:r>
            <w:r w:rsidRPr="00326E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14:paraId="332E68BE" w14:textId="77777777" w:rsidR="0094612D" w:rsidRPr="00326EE1" w:rsidRDefault="0094612D" w:rsidP="002A2C75">
            <w:pPr>
              <w:spacing w:beforeLines="80" w:before="192" w:afterLines="80" w:after="192"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ramach kryterium ocenie podlega</w:t>
            </w:r>
            <w:r>
              <w:rPr>
                <w:rFonts w:eastAsia="Calibri" w:cs="Times New Roman"/>
              </w:rPr>
              <w:t xml:space="preserve"> w szczególności</w:t>
            </w:r>
            <w:r w:rsidRPr="00326EE1">
              <w:rPr>
                <w:rFonts w:eastAsia="Calibri" w:cs="Times New Roman"/>
              </w:rPr>
              <w:t>:</w:t>
            </w:r>
          </w:p>
          <w:p w14:paraId="16751399" w14:textId="77777777" w:rsidR="0094612D" w:rsidRPr="00326EE1" w:rsidRDefault="0094612D" w:rsidP="0094612D">
            <w:pPr>
              <w:numPr>
                <w:ilvl w:val="0"/>
                <w:numId w:val="4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czy kategoria interwencji jest zgodna  z Regulaminem konkursu;</w:t>
            </w:r>
          </w:p>
          <w:p w14:paraId="247D8E81" w14:textId="77777777" w:rsidR="0094612D" w:rsidRPr="00326EE1" w:rsidRDefault="0094612D" w:rsidP="0094612D">
            <w:pPr>
              <w:numPr>
                <w:ilvl w:val="0"/>
                <w:numId w:val="4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czy okres realizacji projektu jest zgodny z Regulaminem konkursu;</w:t>
            </w:r>
          </w:p>
          <w:p w14:paraId="7FD0ADFF" w14:textId="77777777" w:rsidR="0094612D" w:rsidRPr="00326EE1" w:rsidRDefault="0094612D" w:rsidP="0094612D">
            <w:pPr>
              <w:numPr>
                <w:ilvl w:val="0"/>
                <w:numId w:val="4"/>
              </w:numPr>
              <w:spacing w:beforeLines="80" w:before="192"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czy Wnioskodawca uwzględnił limity dotyczące:</w:t>
            </w:r>
          </w:p>
          <w:p w14:paraId="03B00641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20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 maksymalnego poziomu dofinansowania;</w:t>
            </w:r>
          </w:p>
          <w:p w14:paraId="12EC8D69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20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minimalnego wkładu własnego;</w:t>
            </w:r>
          </w:p>
          <w:p w14:paraId="17F9A58D" w14:textId="77777777" w:rsidR="0094612D" w:rsidRDefault="0094612D" w:rsidP="002A2C75">
            <w:pPr>
              <w:spacing w:beforeLines="80" w:before="192" w:afterLines="80" w:after="192" w:line="276" w:lineRule="auto"/>
              <w:ind w:left="720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- minimalnej/maksymalnej wartości projektu</w:t>
            </w:r>
          </w:p>
          <w:p w14:paraId="5F50D2BC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2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minimalnej/maksymalnej kwoty dofinansowania</w:t>
            </w:r>
          </w:p>
          <w:p w14:paraId="3AB15F32" w14:textId="77777777" w:rsidR="0094612D" w:rsidRPr="00326EE1" w:rsidRDefault="0094612D" w:rsidP="002A2C75">
            <w:pPr>
              <w:spacing w:beforeLines="80" w:before="192" w:afterLines="80" w:after="192" w:line="276" w:lineRule="auto"/>
              <w:ind w:left="720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określone w SZOOP lub Regulaminie konkursu;</w:t>
            </w:r>
          </w:p>
          <w:p w14:paraId="419DE664" w14:textId="77777777" w:rsidR="0094612D" w:rsidRPr="00765F66" w:rsidRDefault="0094612D" w:rsidP="0094612D">
            <w:pPr>
              <w:numPr>
                <w:ilvl w:val="0"/>
                <w:numId w:val="4"/>
              </w:numPr>
              <w:spacing w:afterLines="80" w:after="192" w:line="276" w:lineRule="auto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czy wnioskodawca wybrał wszystkie wskaźniki i określił ich wartości docelowe</w:t>
            </w:r>
            <w:r>
              <w:rPr>
                <w:rFonts w:eastAsia="Calibri" w:cs="Times New Roman"/>
              </w:rPr>
              <w:t xml:space="preserve"> zgodnie z  Regulaminem konkursu</w:t>
            </w:r>
            <w:r w:rsidRPr="00326EE1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19C7360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14:paraId="4A031D0A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237DD614" w14:textId="77777777" w:rsidTr="002A2C75">
        <w:tc>
          <w:tcPr>
            <w:tcW w:w="0" w:type="auto"/>
          </w:tcPr>
          <w:p w14:paraId="1D71619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  <w:r w:rsidRPr="00326EE1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</w:tcPr>
          <w:p w14:paraId="21BA2AC9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14:paraId="7E0832B0" w14:textId="77777777" w:rsidR="0094612D" w:rsidRPr="00326EE1" w:rsidRDefault="0094612D" w:rsidP="002A2C75">
            <w:pPr>
              <w:spacing w:beforeLines="400" w:before="960" w:line="276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Kryterium uważa się za spełnione jeżeli:</w:t>
            </w:r>
          </w:p>
          <w:p w14:paraId="1B8D89B1" w14:textId="77777777" w:rsidR="0094612D" w:rsidRPr="00326EE1" w:rsidRDefault="0094612D" w:rsidP="0094612D">
            <w:pPr>
              <w:numPr>
                <w:ilvl w:val="0"/>
                <w:numId w:val="2"/>
              </w:numPr>
              <w:spacing w:beforeLines="400" w:before="960" w:line="276" w:lineRule="auto"/>
              <w:ind w:left="248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14:paraId="1FE8199A" w14:textId="77777777" w:rsidR="0094612D" w:rsidRPr="00326EE1" w:rsidRDefault="0094612D" w:rsidP="0094612D">
            <w:pPr>
              <w:numPr>
                <w:ilvl w:val="0"/>
                <w:numId w:val="2"/>
              </w:numPr>
              <w:spacing w:beforeLines="400" w:before="960" w:line="276" w:lineRule="auto"/>
              <w:ind w:left="238" w:hanging="284"/>
              <w:contextualSpacing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 xml:space="preserve">w konkursach, w których dotacja dla projektu stanowi pomoc publiczną/pomoc de minimis, ocena dokonywana w oparciu o kryteria </w:t>
            </w:r>
            <w:r w:rsidRPr="00326EE1">
              <w:rPr>
                <w:rFonts w:eastAsia="Calibri" w:cs="Times New Roman"/>
              </w:rPr>
              <w:lastRenderedPageBreak/>
              <w:t xml:space="preserve">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14:paraId="262AFBA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5A0596FA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6A9A2F09" w14:textId="77777777" w:rsidTr="002A2C75">
        <w:tc>
          <w:tcPr>
            <w:tcW w:w="0" w:type="auto"/>
          </w:tcPr>
          <w:p w14:paraId="2D8A8E44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Pr="00326EE1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</w:tcPr>
          <w:p w14:paraId="378087BE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Zgodność dokumentacji</w:t>
            </w:r>
            <w:r>
              <w:rPr>
                <w:rFonts w:eastAsia="Calibri" w:cs="Times New Roman"/>
              </w:rPr>
              <w:t xml:space="preserve"> </w:t>
            </w:r>
            <w:r w:rsidRPr="00326EE1">
              <w:rPr>
                <w:rFonts w:eastAsia="Calibri" w:cs="Times New Roman"/>
              </w:rPr>
              <w:t>środowiskowej</w:t>
            </w:r>
            <w:r>
              <w:rPr>
                <w:rFonts w:eastAsia="Calibri" w:cs="Times New Roman"/>
              </w:rPr>
              <w:t xml:space="preserve"> </w:t>
            </w:r>
            <w:r w:rsidRPr="00326EE1">
              <w:rPr>
                <w:rFonts w:eastAsia="Calibri" w:cs="Times New Roman"/>
              </w:rPr>
              <w:t>z obowiązującymi przepisami krajowymi i unijnymi w zakresie ochrony środowiska</w:t>
            </w:r>
          </w:p>
        </w:tc>
        <w:tc>
          <w:tcPr>
            <w:tcW w:w="0" w:type="auto"/>
          </w:tcPr>
          <w:p w14:paraId="58E450F9" w14:textId="77777777" w:rsidR="0094612D" w:rsidRPr="00F97CAD" w:rsidRDefault="0094612D" w:rsidP="002A2C75">
            <w:pPr>
              <w:pStyle w:val="Tekstpodstawowy"/>
              <w:tabs>
                <w:tab w:val="left" w:pos="1560"/>
              </w:tabs>
              <w:spacing w:beforeLines="80" w:before="192" w:after="80" w:line="276" w:lineRule="auto"/>
              <w:rPr>
                <w:rFonts w:ascii="Arial" w:eastAsia="Calibri" w:hAnsi="Arial" w:cs="Arial"/>
                <w:sz w:val="20"/>
              </w:rPr>
            </w:pPr>
            <w:r w:rsidRPr="00F97CA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 xml:space="preserve"> ramach kryterium ocenie podl</w:t>
            </w:r>
            <w:r w:rsidRPr="00F848E9">
              <w:rPr>
                <w:rFonts w:ascii="Arial" w:hAnsi="Arial" w:cs="Arial"/>
                <w:sz w:val="20"/>
              </w:rPr>
              <w:t>ega</w:t>
            </w:r>
            <w:r>
              <w:rPr>
                <w:rFonts w:ascii="Arial" w:hAnsi="Arial" w:cs="Arial"/>
                <w:sz w:val="20"/>
              </w:rPr>
              <w:t xml:space="preserve"> zgodność projektu</w:t>
            </w:r>
            <w:r w:rsidRPr="001B24C4">
              <w:rPr>
                <w:rFonts w:ascii="Arial" w:hAnsi="Arial" w:cs="Arial"/>
                <w:sz w:val="20"/>
              </w:rPr>
              <w:t xml:space="preserve"> </w:t>
            </w:r>
            <w:r w:rsidRPr="00F97CAD">
              <w:rPr>
                <w:rFonts w:ascii="Arial" w:eastAsia="Calibri" w:hAnsi="Arial" w:cs="Arial"/>
                <w:color w:val="000000" w:themeColor="text1"/>
                <w:sz w:val="20"/>
                <w:lang w:eastAsia="pl-PL"/>
              </w:rPr>
              <w:t>z Dyrektywą OOŚ, Dyrektywą Siedliskową i  Dyrektywą Ptasią oraz przepisami krajowymi w zakresie OOŚ.</w:t>
            </w:r>
          </w:p>
          <w:p w14:paraId="4A034F33" w14:textId="77777777" w:rsidR="0094612D" w:rsidRPr="00F97CAD" w:rsidRDefault="0094612D" w:rsidP="002A2C75">
            <w:pPr>
              <w:pStyle w:val="Tekstpodstawowy"/>
              <w:tabs>
                <w:tab w:val="left" w:pos="1560"/>
              </w:tabs>
              <w:spacing w:beforeLines="80" w:before="192" w:after="80" w:line="276" w:lineRule="auto"/>
              <w:rPr>
                <w:rFonts w:ascii="Arial" w:eastAsia="Calibri" w:hAnsi="Arial" w:cs="Arial"/>
                <w:sz w:val="20"/>
              </w:rPr>
            </w:pPr>
            <w:r w:rsidRPr="00F97CAD">
              <w:rPr>
                <w:rFonts w:ascii="Arial" w:eastAsia="Calibri" w:hAnsi="Arial" w:cs="Arial"/>
                <w:sz w:val="20"/>
              </w:rPr>
              <w:t xml:space="preserve">Ocena zostanie przeprowadzona na podstawie załączonych do wniosku dokumentów.  </w:t>
            </w:r>
          </w:p>
          <w:p w14:paraId="7C024332" w14:textId="77777777" w:rsidR="0094612D" w:rsidRPr="001B24C4" w:rsidRDefault="0094612D" w:rsidP="002A2C75">
            <w:pPr>
              <w:pStyle w:val="Tekstpodstawowy"/>
              <w:tabs>
                <w:tab w:val="left" w:pos="1560"/>
              </w:tabs>
              <w:spacing w:beforeLines="80" w:before="192" w:after="80" w:line="276" w:lineRule="auto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B24C4">
              <w:rPr>
                <w:rFonts w:ascii="Arial" w:hAnsi="Arial" w:cs="Arial"/>
                <w:bCs/>
                <w:color w:val="000000" w:themeColor="text1"/>
                <w:sz w:val="20"/>
              </w:rPr>
              <w:t>W przypadku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1B24C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gdy projekt dotyczy przedsięwzięć, o których mowa w art. 59 ustawy z dnia 3 października 2008 r. o udostępnianiu informacji o środowisku i jego ochronie, udziale społeczeństwa w ochronie środowiska oraz o ocenach oddziaływania na środowisko będą to:</w:t>
            </w:r>
          </w:p>
          <w:p w14:paraId="7DD8D60A" w14:textId="77777777" w:rsidR="0094612D" w:rsidRPr="00DF11F7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cs="Arial"/>
                <w:bCs/>
                <w:color w:val="000000" w:themeColor="text1"/>
              </w:rPr>
            </w:pPr>
            <w:r w:rsidRPr="00DF11F7">
              <w:rPr>
                <w:rFonts w:cs="Arial"/>
                <w:bCs/>
                <w:color w:val="000000" w:themeColor="text1"/>
              </w:rPr>
              <w:t>decyzja o środowiskowych uwarunkowaniach;</w:t>
            </w:r>
          </w:p>
          <w:p w14:paraId="029827A9" w14:textId="77777777" w:rsidR="0094612D" w:rsidRPr="00DF11F7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cs="Arial"/>
                <w:color w:val="000000" w:themeColor="text1"/>
              </w:rPr>
            </w:pPr>
            <w:r w:rsidRPr="00DF11F7">
              <w:rPr>
                <w:rFonts w:cs="Arial"/>
                <w:bCs/>
                <w:color w:val="000000" w:themeColor="text1"/>
              </w:rPr>
              <w:t>postanowienie w sprawie potrze</w:t>
            </w:r>
            <w:r w:rsidRPr="00DF11F7">
              <w:rPr>
                <w:rFonts w:cs="Arial"/>
                <w:color w:val="000000" w:themeColor="text1"/>
              </w:rPr>
              <w:t xml:space="preserve">by/braku potrzeby przeprowadzenia OOŚ wraz z niezbędnymi opiniami organów współpracujących; </w:t>
            </w:r>
          </w:p>
          <w:p w14:paraId="223632C6" w14:textId="77777777" w:rsidR="0094612D" w:rsidRPr="001B24C4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cs="Arial"/>
                <w:color w:val="000000" w:themeColor="text1"/>
              </w:rPr>
            </w:pPr>
            <w:r w:rsidRPr="00F848E9">
              <w:rPr>
                <w:rFonts w:cs="Arial"/>
                <w:color w:val="000000" w:themeColor="text1"/>
              </w:rPr>
              <w:t>postanowienie uzgadniające RDOŚ oraz opiniujące właściwego organu Państwowe</w:t>
            </w:r>
            <w:r w:rsidRPr="001B24C4">
              <w:rPr>
                <w:rFonts w:cs="Arial"/>
                <w:color w:val="000000" w:themeColor="text1"/>
              </w:rPr>
              <w:t xml:space="preserve">j Inspekcji Sanitarnej, wydane przed decyzją o środowiskowych uwarunkowaniach (jeżeli dotyczy); </w:t>
            </w:r>
          </w:p>
          <w:p w14:paraId="14468823" w14:textId="77777777" w:rsidR="0094612D" w:rsidRPr="001B24C4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cs="Arial"/>
                <w:color w:val="000000" w:themeColor="text1"/>
              </w:rPr>
            </w:pPr>
            <w:r w:rsidRPr="001B24C4">
              <w:rPr>
                <w:rFonts w:cs="Arial"/>
                <w:color w:val="000000" w:themeColor="text1"/>
              </w:rPr>
              <w:t>streszczenie niespecjalistyczne raportu oceny oddziaływania na środowisko przedsięwzięcia (dla każdego z rozdziałów) lub całego raportu (jeśli dotyczy);</w:t>
            </w:r>
          </w:p>
          <w:p w14:paraId="70E165A7" w14:textId="77777777" w:rsidR="0094612D" w:rsidRPr="001B24C4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cs="Arial"/>
                <w:bCs/>
                <w:color w:val="000000" w:themeColor="text1"/>
              </w:rPr>
            </w:pPr>
            <w:r w:rsidRPr="001B24C4">
              <w:rPr>
                <w:rFonts w:cs="Arial"/>
                <w:color w:val="000000" w:themeColor="text1"/>
              </w:rPr>
              <w:t>dokumenty potwierdzające udział społeczeństwa w procedurze oceny oddziaływania na środowisko (obwieszczenia, ogłoszenia, protokoły).</w:t>
            </w:r>
            <w:r w:rsidRPr="001B24C4">
              <w:rPr>
                <w:rFonts w:eastAsia="Calibri" w:cs="Arial"/>
                <w:color w:val="000000" w:themeColor="text1"/>
                <w:lang w:eastAsia="pl-PL"/>
              </w:rPr>
              <w:t xml:space="preserve"> </w:t>
            </w:r>
            <w:r w:rsidRPr="001B24C4"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1205A7B0" w14:textId="77777777" w:rsidR="0094612D" w:rsidRPr="00F848E9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eastAsia="Calibri" w:cs="Arial"/>
                <w:color w:val="000000" w:themeColor="text1"/>
              </w:rPr>
            </w:pPr>
            <w:r w:rsidRPr="001B24C4">
              <w:rPr>
                <w:rFonts w:eastAsia="Calibri" w:cs="Arial"/>
                <w:color w:val="000000" w:themeColor="text1"/>
              </w:rPr>
              <w:t>formularz  do wniosku o dofinansowanie w zakresie OOŚ</w:t>
            </w:r>
            <w:r>
              <w:rPr>
                <w:rFonts w:eastAsia="Calibri" w:cs="Arial"/>
                <w:color w:val="000000" w:themeColor="text1"/>
              </w:rPr>
              <w:t>;</w:t>
            </w:r>
            <w:r w:rsidRPr="00F848E9"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7DFED3B0" w14:textId="77777777" w:rsidR="0094612D" w:rsidRPr="001B24C4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eastAsia="Calibri" w:cs="Arial"/>
                <w:color w:val="000000" w:themeColor="text1"/>
              </w:rPr>
            </w:pPr>
            <w:r w:rsidRPr="00F848E9">
              <w:rPr>
                <w:rFonts w:eastAsia="Calibri" w:cs="Arial"/>
                <w:color w:val="000000" w:themeColor="text1"/>
              </w:rPr>
              <w:lastRenderedPageBreak/>
              <w:t>deklaracja</w:t>
            </w:r>
            <w:r w:rsidRPr="001B24C4">
              <w:rPr>
                <w:rFonts w:eastAsia="Calibri" w:cs="Arial"/>
                <w:color w:val="000000" w:themeColor="text1"/>
              </w:rPr>
              <w:t xml:space="preserve"> organu odpowiedzialnego za monitorowanie obszarów Natura 2000 (za wyjątkiem projektów</w:t>
            </w:r>
            <w:r>
              <w:rPr>
                <w:rFonts w:eastAsia="Calibri" w:cs="Arial"/>
                <w:color w:val="000000" w:themeColor="text1"/>
              </w:rPr>
              <w:t>,</w:t>
            </w:r>
            <w:r w:rsidRPr="001B24C4">
              <w:rPr>
                <w:rFonts w:eastAsia="Calibri" w:cs="Arial"/>
                <w:color w:val="000000" w:themeColor="text1"/>
              </w:rPr>
              <w:t xml:space="preserve"> które miały przeprowadzoną ocenę oddziaływania na obszary Natura 2000)</w:t>
            </w:r>
            <w:r>
              <w:rPr>
                <w:rFonts w:eastAsia="Calibri" w:cs="Arial"/>
                <w:color w:val="000000" w:themeColor="text1"/>
              </w:rPr>
              <w:t>;</w:t>
            </w:r>
          </w:p>
          <w:p w14:paraId="340C1574" w14:textId="77777777" w:rsidR="0094612D" w:rsidRPr="00F97CAD" w:rsidRDefault="0094612D" w:rsidP="0094612D">
            <w:pPr>
              <w:pStyle w:val="Akapitzlist1"/>
              <w:numPr>
                <w:ilvl w:val="0"/>
                <w:numId w:val="6"/>
              </w:numPr>
              <w:spacing w:beforeLines="80" w:before="192" w:line="276" w:lineRule="auto"/>
              <w:contextualSpacing w:val="0"/>
              <w:rPr>
                <w:rFonts w:eastAsia="Calibri" w:cs="Arial"/>
                <w:color w:val="000000" w:themeColor="text1"/>
              </w:rPr>
            </w:pPr>
            <w:r w:rsidRPr="001B24C4">
              <w:rPr>
                <w:rFonts w:eastAsia="Calibri" w:cs="Arial"/>
                <w:color w:val="000000" w:themeColor="text1"/>
              </w:rPr>
              <w:t>deklaracja</w:t>
            </w:r>
            <w:r w:rsidRPr="00F97CAD">
              <w:rPr>
                <w:rFonts w:eastAsia="Calibri" w:cs="Arial"/>
                <w:color w:val="000000" w:themeColor="text1"/>
              </w:rPr>
              <w:t xml:space="preserve"> </w:t>
            </w:r>
            <w:r w:rsidRPr="00F97CAD">
              <w:rPr>
                <w:rFonts w:eastAsia="Calibri" w:cs="Arial"/>
                <w:color w:val="000000" w:themeColor="text1"/>
                <w:lang w:eastAsia="pl-PL"/>
              </w:rPr>
              <w:t>właściwego organu odpowiedzialnego za gospodarkę wodną – załącz</w:t>
            </w:r>
            <w:r w:rsidRPr="00F97CAD">
              <w:rPr>
                <w:rFonts w:cs="Arial"/>
                <w:color w:val="000000" w:themeColor="text1"/>
              </w:rPr>
              <w:t xml:space="preserve">nik wymagany jedynie </w:t>
            </w:r>
            <w:r w:rsidRPr="00F97CAD">
              <w:rPr>
                <w:rFonts w:cs="Arial"/>
                <w:bCs/>
                <w:color w:val="000000" w:themeColor="text1"/>
              </w:rPr>
              <w:t>w przypadku</w:t>
            </w:r>
            <w:r>
              <w:rPr>
                <w:rFonts w:cs="Arial"/>
                <w:bCs/>
                <w:color w:val="000000" w:themeColor="text1"/>
              </w:rPr>
              <w:t>,</w:t>
            </w:r>
            <w:r w:rsidRPr="00F97CAD">
              <w:rPr>
                <w:rFonts w:cs="Arial"/>
                <w:bCs/>
                <w:color w:val="000000" w:themeColor="text1"/>
              </w:rPr>
              <w:t xml:space="preserve"> gdy projekt dotyczy jednolitej części wód (powierzchniowych i/lub podziemnych).</w:t>
            </w:r>
          </w:p>
          <w:p w14:paraId="4E9FC933" w14:textId="77777777" w:rsidR="0094612D" w:rsidRPr="00F97CAD" w:rsidRDefault="0094612D" w:rsidP="002A2C75">
            <w:pPr>
              <w:pStyle w:val="Tekstpodstawowy"/>
              <w:tabs>
                <w:tab w:val="left" w:pos="1560"/>
              </w:tabs>
              <w:spacing w:beforeLines="80" w:before="192" w:after="80" w:line="276" w:lineRule="auto"/>
              <w:rPr>
                <w:rFonts w:cs="Arial"/>
                <w:bCs/>
                <w:color w:val="000000" w:themeColor="text1"/>
              </w:rPr>
            </w:pPr>
            <w:r w:rsidRPr="001B24C4">
              <w:rPr>
                <w:rFonts w:ascii="Arial" w:hAnsi="Arial" w:cs="Arial"/>
                <w:bCs/>
                <w:color w:val="000000" w:themeColor="text1"/>
                <w:sz w:val="20"/>
              </w:rPr>
              <w:t>W przypadku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1B24C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gdy projekt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nie</w:t>
            </w:r>
            <w:r w:rsidRPr="001B24C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dotyczy przedsięwzięć, o których mowa w art. 59 ustawy z dnia 3 października 2008 r. o udostępnianiu informacji o środowisku i jego ochronie, udziale społeczeństwa w ochronie środowiska oraz o ocenach oddziaływania na środowisko będą to:</w:t>
            </w:r>
          </w:p>
          <w:p w14:paraId="62F67CFF" w14:textId="77777777" w:rsidR="0094612D" w:rsidRPr="00DF11F7" w:rsidRDefault="0094612D" w:rsidP="009461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80" w:before="192" w:line="276" w:lineRule="auto"/>
              <w:rPr>
                <w:rFonts w:eastAsia="Calibri" w:cs="Arial"/>
                <w:color w:val="000000" w:themeColor="text1"/>
                <w:lang w:eastAsia="pl-PL"/>
              </w:rPr>
            </w:pPr>
            <w:r w:rsidRPr="00F97CAD">
              <w:rPr>
                <w:rFonts w:eastAsia="Calibri" w:cs="Arial"/>
                <w:color w:val="000000" w:themeColor="text1"/>
                <w:lang w:eastAsia="pl-PL"/>
              </w:rPr>
              <w:t>formularz  do wniosku o dofinansowanie w zakresie OOŚ</w:t>
            </w:r>
            <w:r w:rsidRPr="00DF11F7">
              <w:rPr>
                <w:rFonts w:eastAsia="Calibri" w:cs="Arial"/>
                <w:color w:val="000000" w:themeColor="text1"/>
                <w:lang w:eastAsia="pl-PL"/>
              </w:rPr>
              <w:t>;</w:t>
            </w:r>
          </w:p>
          <w:p w14:paraId="252629D1" w14:textId="77777777" w:rsidR="0094612D" w:rsidRPr="00DF11F7" w:rsidRDefault="0094612D" w:rsidP="009461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80" w:before="192" w:line="276" w:lineRule="auto"/>
              <w:rPr>
                <w:rFonts w:eastAsia="Calibri" w:cs="Arial"/>
                <w:color w:val="000000" w:themeColor="text1"/>
                <w:lang w:eastAsia="pl-PL"/>
              </w:rPr>
            </w:pPr>
            <w:r w:rsidRPr="00F97CAD">
              <w:rPr>
                <w:rFonts w:eastAsia="Calibri" w:cs="Arial"/>
                <w:color w:val="000000" w:themeColor="text1"/>
                <w:lang w:eastAsia="pl-PL"/>
              </w:rPr>
              <w:t xml:space="preserve">deklaracja  organu odpowiedzialnego za monitorowanie obszarów Natura 2000 </w:t>
            </w:r>
            <w:r w:rsidRPr="00F97CAD">
              <w:rPr>
                <w:rFonts w:cs="Arial"/>
                <w:bCs/>
                <w:color w:val="000000" w:themeColor="text1"/>
              </w:rPr>
              <w:t>– załącznik wymagany za wyjątkiem projektów nieinfrastrukturalnych (np. zakup sprzętu komputerowego lub oprogramowania)</w:t>
            </w:r>
            <w:r w:rsidRPr="00DF11F7">
              <w:rPr>
                <w:rFonts w:eastAsia="Calibri" w:cs="Arial"/>
                <w:color w:val="000000" w:themeColor="text1"/>
                <w:lang w:eastAsia="pl-PL"/>
              </w:rPr>
              <w:t>;</w:t>
            </w:r>
          </w:p>
          <w:p w14:paraId="441EEEF9" w14:textId="77777777" w:rsidR="0094612D" w:rsidRPr="00F97CAD" w:rsidRDefault="0094612D" w:rsidP="009461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80" w:before="192" w:line="276" w:lineRule="auto"/>
              <w:rPr>
                <w:rFonts w:eastAsia="Calibri" w:cs="Arial"/>
                <w:color w:val="000000" w:themeColor="text1"/>
                <w:lang w:eastAsia="pl-PL"/>
              </w:rPr>
            </w:pPr>
            <w:r w:rsidRPr="00F97CAD">
              <w:rPr>
                <w:rFonts w:cs="Arial"/>
                <w:color w:val="000000" w:themeColor="text1"/>
              </w:rPr>
              <w:t xml:space="preserve">deklaracja właściwego organu odpowiedzialnego za gospodarkę wodną – </w:t>
            </w:r>
            <w:r w:rsidRPr="00F97CAD">
              <w:rPr>
                <w:rFonts w:cs="Arial"/>
                <w:bCs/>
                <w:color w:val="000000" w:themeColor="text1"/>
              </w:rPr>
              <w:t>w przypadku gdy projekt dotyczy jednolitej części wód (powierzchniowych i/lub podziemnych).</w:t>
            </w:r>
          </w:p>
          <w:p w14:paraId="71C29B33" w14:textId="77777777" w:rsidR="0094612D" w:rsidRPr="00F97CAD" w:rsidRDefault="0094612D" w:rsidP="002A2C75">
            <w:pPr>
              <w:pStyle w:val="Akapitzlist1"/>
              <w:spacing w:beforeLines="80" w:before="192" w:line="276" w:lineRule="auto"/>
              <w:ind w:left="0"/>
              <w:contextualSpacing w:val="0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  <w:lang w:eastAsia="pl-PL"/>
              </w:rPr>
              <w:t xml:space="preserve">W ramach kryterium weryfikacji podlega również spójność informacji zawartych we wniosku o dofinansowanie i w dokumentacji środowiskowej (w tym:  </w:t>
            </w:r>
            <w:r w:rsidRPr="00495C6D">
              <w:rPr>
                <w:rFonts w:eastAsia="Calibri" w:cs="Arial"/>
                <w:color w:val="000000" w:themeColor="text1"/>
                <w:lang w:eastAsia="pl-PL"/>
              </w:rPr>
              <w:t>d</w:t>
            </w:r>
            <w:r>
              <w:rPr>
                <w:rFonts w:eastAsia="Calibri" w:cs="Arial"/>
                <w:color w:val="000000" w:themeColor="text1"/>
                <w:lang w:eastAsia="pl-PL"/>
              </w:rPr>
              <w:t>eklaracji</w:t>
            </w:r>
            <w:r w:rsidRPr="00495C6D">
              <w:rPr>
                <w:rFonts w:eastAsia="Calibri" w:cs="Arial"/>
                <w:color w:val="000000" w:themeColor="text1"/>
                <w:lang w:eastAsia="pl-PL"/>
              </w:rPr>
              <w:t xml:space="preserve"> organu odpowiedzialnego za monitorowanie obszarów Natura 2000</w:t>
            </w:r>
            <w:r>
              <w:rPr>
                <w:rFonts w:eastAsia="Calibri" w:cs="Arial"/>
                <w:color w:val="000000" w:themeColor="text1"/>
                <w:lang w:eastAsia="pl-PL"/>
              </w:rPr>
              <w:t>,</w:t>
            </w:r>
            <w:r w:rsidRPr="00495C6D">
              <w:rPr>
                <w:rFonts w:eastAsia="Calibri" w:cs="Arial"/>
                <w:color w:val="000000" w:themeColor="text1"/>
                <w:lang w:eastAsia="pl-PL"/>
              </w:rPr>
              <w:t xml:space="preserve"> </w:t>
            </w:r>
            <w:r w:rsidRPr="00495C6D">
              <w:rPr>
                <w:rFonts w:cs="Arial"/>
                <w:color w:val="000000" w:themeColor="text1"/>
              </w:rPr>
              <w:t>d</w:t>
            </w:r>
            <w:r>
              <w:rPr>
                <w:rFonts w:cs="Arial"/>
                <w:color w:val="000000" w:themeColor="text1"/>
              </w:rPr>
              <w:t>eklaracji</w:t>
            </w:r>
            <w:r w:rsidRPr="00495C6D">
              <w:rPr>
                <w:rFonts w:cs="Arial"/>
                <w:color w:val="000000" w:themeColor="text1"/>
              </w:rPr>
              <w:t xml:space="preserve"> właściwego organu odpowiedzialnego za gospodarkę wodną</w:t>
            </w:r>
            <w:r>
              <w:rPr>
                <w:rFonts w:cs="Arial"/>
                <w:color w:val="000000" w:themeColor="text1"/>
              </w:rPr>
              <w:t>)</w:t>
            </w:r>
            <w:r>
              <w:rPr>
                <w:rFonts w:eastAsia="Calibri" w:cs="Arial"/>
                <w:color w:val="000000" w:themeColor="text1"/>
                <w:lang w:eastAsia="pl-PL"/>
              </w:rPr>
              <w:t xml:space="preserve"> oraz zezwoleniu na inwestycję.</w:t>
            </w:r>
          </w:p>
        </w:tc>
        <w:tc>
          <w:tcPr>
            <w:tcW w:w="0" w:type="auto"/>
            <w:vAlign w:val="center"/>
          </w:tcPr>
          <w:p w14:paraId="51C8DE13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21FC6422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1231E1B7" w14:textId="77777777" w:rsidTr="002A2C75">
        <w:tc>
          <w:tcPr>
            <w:tcW w:w="0" w:type="auto"/>
          </w:tcPr>
          <w:p w14:paraId="380B5F6F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0" w:type="auto"/>
          </w:tcPr>
          <w:p w14:paraId="27590622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Zgodność projektu z zasadą równości szans kobiet i mężczyzn</w:t>
            </w:r>
            <w:r w:rsidRPr="00326EE1" w:rsidDel="009E37B9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14:paraId="1D4D13E8" w14:textId="25A4F534" w:rsidR="0094612D" w:rsidRPr="005115CA" w:rsidRDefault="0094612D" w:rsidP="002A2C75">
            <w:pPr>
              <w:spacing w:afterLines="80" w:after="192" w:line="276" w:lineRule="auto"/>
              <w:rPr>
                <w:rFonts w:eastAsia="Calibri" w:cs="Times New Roman"/>
              </w:rPr>
            </w:pPr>
            <w:r w:rsidRPr="005115CA">
              <w:rPr>
                <w:rFonts w:eastAsia="Calibri" w:cs="Times New Roman"/>
              </w:rPr>
              <w:t>Kryterium uważa się za spełnione jeśli wnioskodawca  wykaże pozytywny wpływ projektu na zasadę równości szans kobiet i mężczyzn.</w:t>
            </w:r>
          </w:p>
          <w:p w14:paraId="7643FBCC" w14:textId="296F7167" w:rsidR="00CB766E" w:rsidRPr="009A3F6F" w:rsidRDefault="00CB766E" w:rsidP="00CB766E">
            <w:pPr>
              <w:spacing w:afterLines="80" w:after="192" w:line="276" w:lineRule="auto"/>
              <w:rPr>
                <w:rFonts w:ascii="Calibri" w:eastAsiaTheme="minorHAnsi" w:hAnsi="Calibri"/>
              </w:rPr>
            </w:pPr>
            <w:r w:rsidRPr="009A3F6F">
              <w:lastRenderedPageBreak/>
              <w:t>Dopuszczalne jest uznanie neutralności projektu w stosunku do niniejszej zasady.</w:t>
            </w:r>
          </w:p>
          <w:p w14:paraId="291FC163" w14:textId="42C5835A" w:rsidR="00CB766E" w:rsidRPr="009A3F6F" w:rsidRDefault="00CB766E" w:rsidP="00CB766E">
            <w:pPr>
              <w:spacing w:afterLines="80" w:after="192" w:line="276" w:lineRule="auto"/>
            </w:pPr>
            <w:r w:rsidRPr="009A3F6F">
              <w:t>O neutralności można mówić wtedy, kiedy w ramach projektu wnioskodawca wskaże szczegółowe uzasadnienie, dlaczego dany projekt nie jest w stanie zrealizować jakichkolwiek działań w zakresie spełnienia zasady równości szans kobiet i mężczyzn: np. w niektórych projektach drogowych lub technologiach informacyjno – komunikacyjnych (TIK)</w:t>
            </w:r>
            <w:r w:rsidR="00AB6CE3" w:rsidRPr="009A3F6F">
              <w:t>,</w:t>
            </w:r>
            <w:r w:rsidRPr="009A3F6F">
              <w:t xml:space="preserve">   a uzasadnienie to zostanie uznane przez osobę oceniającą za trafne i poprawne.</w:t>
            </w:r>
          </w:p>
          <w:p w14:paraId="31015EAF" w14:textId="665CCB91" w:rsidR="007262A9" w:rsidRPr="005115CA" w:rsidRDefault="007262A9" w:rsidP="002A2C75">
            <w:pPr>
              <w:spacing w:afterLines="80" w:after="192" w:line="276" w:lineRule="auto"/>
              <w:rPr>
                <w:rFonts w:eastAsia="Calibri" w:cs="Times New Roman"/>
              </w:rPr>
            </w:pPr>
          </w:p>
          <w:p w14:paraId="10FA5D8F" w14:textId="50B038ED" w:rsidR="008C3A79" w:rsidRPr="005115CA" w:rsidRDefault="008C3A79" w:rsidP="002A2C75">
            <w:pPr>
              <w:spacing w:afterLines="80" w:after="192" w:line="276" w:lineRule="auto"/>
              <w:rPr>
                <w:rFonts w:eastAsia="Calibri" w:cs="Times New Roman"/>
              </w:rPr>
            </w:pPr>
          </w:p>
          <w:p w14:paraId="1C9A2A48" w14:textId="77777777" w:rsidR="0094612D" w:rsidRPr="005115CA" w:rsidRDefault="0094612D" w:rsidP="002A2C75">
            <w:pPr>
              <w:spacing w:afterLines="80" w:after="192" w:line="276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vAlign w:val="center"/>
          </w:tcPr>
          <w:p w14:paraId="6154C34D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0BD55531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0D27B525" w14:textId="77777777" w:rsidTr="002A2C75">
        <w:tc>
          <w:tcPr>
            <w:tcW w:w="0" w:type="auto"/>
          </w:tcPr>
          <w:p w14:paraId="1EACE3B4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0.</w:t>
            </w:r>
            <w:r w:rsidRPr="00326E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14:paraId="69A82909" w14:textId="445F982B" w:rsidR="0094612D" w:rsidRPr="000D1FBE" w:rsidRDefault="00CB5883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0D1FBE">
              <w:rPr>
                <w:rFonts w:eastAsia="Calibri" w:cs="Times New Roman"/>
              </w:rPr>
              <w:t>Beneficjent wykazał, że projekt będzie miał pozytywny wpływ na zasadę niedyskryminacji w tym dostępności dla osób z niepełnosprawnościami,</w:t>
            </w:r>
          </w:p>
        </w:tc>
        <w:tc>
          <w:tcPr>
            <w:tcW w:w="0" w:type="auto"/>
          </w:tcPr>
          <w:p w14:paraId="2A37427C" w14:textId="29EAF1C2" w:rsidR="0094612D" w:rsidRPr="005115CA" w:rsidRDefault="00CB5883" w:rsidP="009A3F6F">
            <w:pPr>
              <w:spacing w:beforeLines="80" w:before="192" w:afterLines="80" w:after="192" w:line="276" w:lineRule="auto"/>
              <w:rPr>
                <w:rFonts w:eastAsia="Calibri" w:cs="Times New Roman"/>
              </w:rPr>
            </w:pPr>
            <w:commentRangeStart w:id="3"/>
            <w:r w:rsidRPr="005115CA">
              <w:rPr>
                <w:rFonts w:eastAsia="Calibri" w:cs="Times New Roman"/>
              </w:rPr>
              <w:t xml:space="preserve">Przez pozytywny wpływ należy rozumieć  </w:t>
            </w:r>
            <w:commentRangeEnd w:id="3"/>
            <w:r w:rsidR="00AA75B1" w:rsidRPr="009A3F6F">
              <w:rPr>
                <w:rStyle w:val="Odwoaniedokomentarza"/>
                <w:sz w:val="20"/>
                <w:szCs w:val="20"/>
              </w:rPr>
              <w:commentReference w:id="3"/>
            </w:r>
            <w:r w:rsidRPr="005115CA">
              <w:rPr>
                <w:rFonts w:eastAsia="Calibri" w:cs="Times New Roman"/>
              </w:rPr>
              <w:t>zapewnienie dostępności infrastruktury, transportu,</w:t>
            </w:r>
            <w:r w:rsidR="00F263B2" w:rsidRPr="005115CA">
              <w:rPr>
                <w:rFonts w:eastAsia="Calibri" w:cs="Times New Roman"/>
              </w:rPr>
              <w:t xml:space="preserve"> </w:t>
            </w:r>
            <w:r w:rsidR="00A80557" w:rsidRPr="005115CA">
              <w:rPr>
                <w:rFonts w:eastAsia="Calibri" w:cs="Times New Roman"/>
              </w:rPr>
              <w:t>towarów,</w:t>
            </w:r>
            <w:r w:rsidRPr="005115CA">
              <w:rPr>
                <w:rFonts w:eastAsia="Calibri" w:cs="Times New Roman"/>
              </w:rPr>
              <w:t xml:space="preserve"> usług, technologii i systemów informacyjno- komunikacyjnych oraz wszelkich innych produktów projektów ( które nie zostały uznane za neutralne) dla wszystkich ich użytkowników zgodnie ze standardami dostępności, stanowiącymi załącznik  do Wytycznych w zakresie realizacji zasady równości szans i niedyskryminacji, w tym dostępności dla osób z niepełnosprawnościami oraz  zasady równości szans kobiet i mężczyzn w ramach funduszy</w:t>
            </w:r>
            <w:r w:rsidR="00A164E0" w:rsidRPr="005115CA">
              <w:rPr>
                <w:rFonts w:eastAsia="Calibri" w:cs="Times New Roman"/>
              </w:rPr>
              <w:t xml:space="preserve"> </w:t>
            </w:r>
            <w:r w:rsidRPr="005115CA">
              <w:rPr>
                <w:rFonts w:eastAsia="Calibri" w:cs="Times New Roman"/>
              </w:rPr>
              <w:t>unijnych na lata 2014-</w:t>
            </w:r>
            <w:commentRangeStart w:id="4"/>
            <w:commentRangeStart w:id="5"/>
            <w:commentRangeStart w:id="6"/>
            <w:r w:rsidRPr="005115CA">
              <w:rPr>
                <w:rFonts w:eastAsia="Calibri" w:cs="Times New Roman"/>
              </w:rPr>
              <w:t>2020</w:t>
            </w:r>
            <w:commentRangeEnd w:id="4"/>
            <w:r w:rsidR="000033C6" w:rsidRPr="009A3F6F">
              <w:rPr>
                <w:rStyle w:val="Odwoaniedokomentarza"/>
                <w:sz w:val="20"/>
                <w:szCs w:val="20"/>
              </w:rPr>
              <w:commentReference w:id="4"/>
            </w:r>
            <w:commentRangeEnd w:id="5"/>
            <w:r w:rsidR="00AA75B1" w:rsidRPr="009A3F6F">
              <w:rPr>
                <w:rStyle w:val="Odwoaniedokomentarza"/>
                <w:sz w:val="20"/>
                <w:szCs w:val="20"/>
              </w:rPr>
              <w:commentReference w:id="5"/>
            </w:r>
            <w:commentRangeEnd w:id="6"/>
            <w:r w:rsidR="00BA4275" w:rsidRPr="009A3F6F">
              <w:rPr>
                <w:rStyle w:val="Odwoaniedokomentarza"/>
                <w:sz w:val="20"/>
                <w:szCs w:val="20"/>
              </w:rPr>
              <w:commentReference w:id="6"/>
            </w:r>
            <w:r w:rsidRPr="005115CA">
              <w:rPr>
                <w:rFonts w:eastAsia="Calibri" w:cs="Times New Roman"/>
              </w:rPr>
              <w:t xml:space="preserve">. </w:t>
            </w:r>
          </w:p>
          <w:p w14:paraId="09944261" w14:textId="77777777" w:rsidR="007B1061" w:rsidRPr="009A3F6F" w:rsidRDefault="007B1061" w:rsidP="009A3F6F">
            <w:pPr>
              <w:autoSpaceDE w:val="0"/>
              <w:autoSpaceDN w:val="0"/>
              <w:adjustRightInd w:val="0"/>
              <w:spacing w:beforeLines="80" w:before="192" w:afterLines="80" w:after="192" w:line="276" w:lineRule="auto"/>
              <w:rPr>
                <w:rFonts w:eastAsia="Calibri" w:cs="Arial"/>
              </w:rPr>
            </w:pPr>
            <w:r w:rsidRPr="009A3F6F">
              <w:rPr>
                <w:rFonts w:eastAsia="Calibri" w:cs="Arial"/>
              </w:rPr>
              <w:t xml:space="preserve">W wyjątkowych sytuacjach, dopuszczalne jest uznanie neutralności produktu projektu. </w:t>
            </w:r>
            <w:r w:rsidRPr="009A3F6F">
              <w:rPr>
                <w:rFonts w:eastAsia="Calibri" w:cs="Arial"/>
              </w:rPr>
              <w:br/>
              <w:t xml:space="preserve">O neutralności produktu można mówić w sytuacji, kiedy wnioskodawca wykaże we wniosku o dofinansowanie projektu, że dostępność nie </w:t>
            </w:r>
            <w:r w:rsidRPr="009A3F6F">
              <w:rPr>
                <w:rFonts w:eastAsia="Calibri" w:cs="Arial"/>
              </w:rPr>
              <w:lastRenderedPageBreak/>
              <w:t>dotyczy danego produktu na przykład z uwagi na brak jego bezpośrednich użytkowników.</w:t>
            </w:r>
          </w:p>
          <w:p w14:paraId="17C34B19" w14:textId="77777777" w:rsidR="007B1061" w:rsidRPr="009A3F6F" w:rsidRDefault="007B1061" w:rsidP="007B1061">
            <w:pPr>
              <w:autoSpaceDE w:val="0"/>
              <w:autoSpaceDN w:val="0"/>
              <w:adjustRightInd w:val="0"/>
              <w:spacing w:before="0" w:after="160" w:line="240" w:lineRule="auto"/>
              <w:rPr>
                <w:rFonts w:eastAsia="Calibri" w:cs="Arial"/>
              </w:rPr>
            </w:pPr>
          </w:p>
          <w:p w14:paraId="733B2465" w14:textId="743164BC" w:rsidR="007B1061" w:rsidRPr="005115CA" w:rsidRDefault="007B1061" w:rsidP="007B1061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vAlign w:val="center"/>
          </w:tcPr>
          <w:p w14:paraId="3EF026A2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1E06FD14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5A0192EC" w14:textId="77777777" w:rsidTr="002A2C75">
        <w:tc>
          <w:tcPr>
            <w:tcW w:w="0" w:type="auto"/>
          </w:tcPr>
          <w:p w14:paraId="475D0DD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</w:t>
            </w:r>
          </w:p>
        </w:tc>
        <w:tc>
          <w:tcPr>
            <w:tcW w:w="0" w:type="auto"/>
          </w:tcPr>
          <w:p w14:paraId="57E953FD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Zgodność projektu z zasadą zrównoważonego rozwoju</w:t>
            </w:r>
          </w:p>
        </w:tc>
        <w:tc>
          <w:tcPr>
            <w:tcW w:w="0" w:type="auto"/>
          </w:tcPr>
          <w:p w14:paraId="2D47EB0D" w14:textId="77777777" w:rsidR="0094612D" w:rsidRPr="005115CA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5115CA">
              <w:rPr>
                <w:rFonts w:eastAsia="Calibri" w:cs="Times New Roman"/>
              </w:rPr>
              <w:t xml:space="preserve">Kryterium uważa się za spełnione jeśli wnioskodawca wykaże pozytywny wpływ projektu na  zasadę zrównoważonego rozwoju. </w:t>
            </w:r>
          </w:p>
          <w:p w14:paraId="1F051C9D" w14:textId="77777777" w:rsidR="001763CA" w:rsidRPr="005115CA" w:rsidRDefault="001763CA" w:rsidP="002A2C75">
            <w:pPr>
              <w:spacing w:after="0" w:line="240" w:lineRule="auto"/>
              <w:rPr>
                <w:rFonts w:eastAsia="Calibri" w:cs="Times New Roman"/>
              </w:rPr>
            </w:pPr>
          </w:p>
          <w:p w14:paraId="5CC35DDF" w14:textId="77777777" w:rsidR="00E70E31" w:rsidRPr="009A3F6F" w:rsidRDefault="00E70E31" w:rsidP="00E70E31">
            <w:pPr>
              <w:spacing w:afterLines="80" w:after="192" w:line="276" w:lineRule="auto"/>
              <w:rPr>
                <w:rFonts w:ascii="Calibri" w:eastAsiaTheme="minorHAnsi" w:hAnsi="Calibri"/>
              </w:rPr>
            </w:pPr>
            <w:r w:rsidRPr="009A3F6F">
              <w:t>Dopuszczalne jest uznanie neutralności projektu w stosunku do niniejszej zasady.</w:t>
            </w:r>
          </w:p>
          <w:p w14:paraId="4DF50E00" w14:textId="14A1FD0C" w:rsidR="00E70E31" w:rsidRPr="009A3F6F" w:rsidRDefault="00E70E31" w:rsidP="00E70E31">
            <w:pPr>
              <w:spacing w:afterLines="80" w:after="192" w:line="276" w:lineRule="auto"/>
            </w:pPr>
            <w:r w:rsidRPr="009A3F6F">
              <w:t xml:space="preserve">O neutralności można mówić wtedy, kiedy w ramach projektu wnioskodawca wskaże szczegółowe uzasadnienie, dlaczego dany projekt nie jest w stanie zrealizować jakichkolwiek działań w zakresie spełnienia zasady zrównoważonego rozwoju </w:t>
            </w:r>
            <w:r w:rsidR="00523886" w:rsidRPr="005115CA">
              <w:t>np.</w:t>
            </w:r>
            <w:r w:rsidRPr="009A3F6F">
              <w:t>:</w:t>
            </w:r>
            <w:r w:rsidR="00204754" w:rsidRPr="009A3F6F">
              <w:t xml:space="preserve"> </w:t>
            </w:r>
            <w:r w:rsidRPr="009A3F6F">
              <w:t>niektóre projekty bony na doradztwo lub bony na innowacje,</w:t>
            </w:r>
            <w:r w:rsidRPr="005115CA">
              <w:t xml:space="preserve"> </w:t>
            </w:r>
            <w:r w:rsidRPr="009A3F6F">
              <w:t>a uzasadnienie to zostanie uznane przez osobę oceniającą za trafne i poprawne.</w:t>
            </w:r>
          </w:p>
          <w:p w14:paraId="3B1118E8" w14:textId="41C2A12A" w:rsidR="0094612D" w:rsidRPr="005115CA" w:rsidRDefault="0094612D" w:rsidP="002A2C75">
            <w:pPr>
              <w:spacing w:after="120" w:line="24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vAlign w:val="center"/>
          </w:tcPr>
          <w:p w14:paraId="19F54530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commentRangeStart w:id="7"/>
            <w:r w:rsidRPr="00326EE1">
              <w:rPr>
                <w:rFonts w:eastAsia="Calibri" w:cs="Times New Roman"/>
              </w:rPr>
              <w:t>0/1</w:t>
            </w:r>
            <w:commentRangeEnd w:id="7"/>
            <w:r w:rsidR="00AA75B1">
              <w:rPr>
                <w:rStyle w:val="Odwoaniedokomentarza"/>
              </w:rPr>
              <w:commentReference w:id="7"/>
            </w:r>
          </w:p>
        </w:tc>
        <w:tc>
          <w:tcPr>
            <w:tcW w:w="0" w:type="auto"/>
            <w:vAlign w:val="center"/>
          </w:tcPr>
          <w:p w14:paraId="716C1229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  <w:tr w:rsidR="0094612D" w:rsidRPr="00326EE1" w14:paraId="0AAB06AD" w14:textId="77777777" w:rsidTr="002A2C75">
        <w:tc>
          <w:tcPr>
            <w:tcW w:w="0" w:type="auto"/>
          </w:tcPr>
          <w:p w14:paraId="096E547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  <w:r w:rsidRPr="00326E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0" w:type="auto"/>
          </w:tcPr>
          <w:p w14:paraId="68AAD57B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14:paraId="7CCCCCBC" w14:textId="77777777" w:rsidR="0094612D" w:rsidRPr="005115CA" w:rsidRDefault="0094612D" w:rsidP="002A2C75">
            <w:pPr>
              <w:spacing w:line="276" w:lineRule="auto"/>
              <w:rPr>
                <w:rFonts w:eastAsia="Calibri" w:cs="Times New Roman"/>
              </w:rPr>
            </w:pPr>
            <w:r w:rsidRPr="005115CA">
              <w:rPr>
                <w:rFonts w:eastAsia="Calibri" w:cs="Times New Roman"/>
              </w:rPr>
              <w:t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14:paraId="57D74E91" w14:textId="77777777" w:rsidR="0094612D" w:rsidRPr="005115CA" w:rsidRDefault="0094612D" w:rsidP="002A2C75">
            <w:pPr>
              <w:spacing w:line="276" w:lineRule="auto"/>
              <w:rPr>
                <w:rFonts w:eastAsia="Calibri" w:cs="Times New Roman"/>
              </w:rPr>
            </w:pPr>
            <w:r w:rsidRPr="005115CA">
              <w:rPr>
                <w:rFonts w:eastAsia="Calibri" w:cs="Times New Roman"/>
              </w:rPr>
              <w:t xml:space="preserve"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</w:t>
            </w:r>
            <w:r w:rsidRPr="005115CA">
              <w:rPr>
                <w:rFonts w:eastAsia="Calibri" w:cs="Times New Roman"/>
              </w:rPr>
              <w:lastRenderedPageBreak/>
              <w:t>przekraczają kwotę 50 mln EUR, a w przypadku operacji przyczyniających się do osiągnięcia celu tematycznego na mocy art. 9 pkt 7 rozporządzenia PE i Rady (UE) nr 1303/2013, której całkowite koszty kwalifikowalne przekraczają kwotę 75 mln EUR.</w:t>
            </w:r>
          </w:p>
        </w:tc>
        <w:tc>
          <w:tcPr>
            <w:tcW w:w="0" w:type="auto"/>
            <w:vAlign w:val="center"/>
          </w:tcPr>
          <w:p w14:paraId="79EDFDB1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14:paraId="3A2A7A85" w14:textId="77777777" w:rsidR="0094612D" w:rsidRPr="00326EE1" w:rsidRDefault="0094612D" w:rsidP="002A2C75">
            <w:pPr>
              <w:spacing w:after="0" w:line="240" w:lineRule="auto"/>
              <w:rPr>
                <w:rFonts w:eastAsia="Calibri" w:cs="Times New Roman"/>
              </w:rPr>
            </w:pPr>
            <w:r w:rsidRPr="00326EE1">
              <w:rPr>
                <w:rFonts w:eastAsia="Calibri" w:cs="Times New Roman"/>
              </w:rPr>
              <w:t>TAK</w:t>
            </w:r>
          </w:p>
        </w:tc>
      </w:tr>
    </w:tbl>
    <w:p w14:paraId="5E2BE3D4" w14:textId="77777777" w:rsidR="00A83F97" w:rsidRDefault="00A83F97"/>
    <w:sectPr w:rsidR="00A83F97" w:rsidSect="009A3F6F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Pączkowska Magdalena" w:date="2018-07-05T12:31:00Z" w:initials="PM">
    <w:p w14:paraId="354E668E" w14:textId="1BC12D7B" w:rsidR="00AA75B1" w:rsidRDefault="00AA75B1">
      <w:pPr>
        <w:pStyle w:val="Tekstkomentarza"/>
      </w:pPr>
      <w:r>
        <w:rPr>
          <w:rStyle w:val="Odwoaniedokomentarza"/>
        </w:rPr>
        <w:annotationRef/>
      </w:r>
    </w:p>
  </w:comment>
  <w:comment w:id="4" w:author="Pączkowska Magdalena" w:date="2018-07-04T13:30:00Z" w:initials="PM">
    <w:p w14:paraId="1035DA6C" w14:textId="7D090A5E" w:rsidR="000033C6" w:rsidRDefault="000033C6">
      <w:pPr>
        <w:pStyle w:val="Tekstkomentarza"/>
      </w:pPr>
      <w:r>
        <w:rPr>
          <w:rStyle w:val="Odwoaniedokomentarza"/>
        </w:rPr>
        <w:annotationRef/>
      </w:r>
    </w:p>
  </w:comment>
  <w:comment w:id="5" w:author="Pączkowska Magdalena" w:date="2018-07-05T12:24:00Z" w:initials="PM">
    <w:p w14:paraId="24431911" w14:textId="37C4E68E" w:rsidR="00AA75B1" w:rsidRDefault="00AA75B1">
      <w:pPr>
        <w:pStyle w:val="Tekstkomentarza"/>
      </w:pPr>
      <w:r>
        <w:rPr>
          <w:rStyle w:val="Odwoaniedokomentarza"/>
        </w:rPr>
        <w:annotationRef/>
      </w:r>
      <w:r>
        <w:t xml:space="preserve">Propozycja Pani Agnieszki Zych </w:t>
      </w:r>
    </w:p>
  </w:comment>
  <w:comment w:id="6" w:author="Pączkowska Magdalena" w:date="2018-07-05T12:52:00Z" w:initials="PM">
    <w:p w14:paraId="0ECE93F0" w14:textId="77777777" w:rsidR="00BA4275" w:rsidRPr="00BA4275" w:rsidRDefault="00BA4275" w:rsidP="00BA4275">
      <w:pPr>
        <w:pStyle w:val="Tekstkomentarza"/>
        <w:rPr>
          <w:rFonts w:asciiTheme="minorHAnsi" w:eastAsiaTheme="minorHAnsi" w:hAnsiTheme="minorHAnsi"/>
        </w:rPr>
      </w:pPr>
      <w:r>
        <w:rPr>
          <w:rStyle w:val="Odwoaniedokomentarza"/>
        </w:rPr>
        <w:annotationRef/>
      </w:r>
      <w:r w:rsidRPr="00BA4275">
        <w:rPr>
          <w:rFonts w:asciiTheme="minorHAnsi" w:eastAsiaTheme="minorHAnsi" w:hAnsiTheme="minorHAnsi"/>
          <w:sz w:val="16"/>
          <w:szCs w:val="16"/>
        </w:rPr>
        <w:annotationRef/>
      </w:r>
      <w:r w:rsidRPr="00BA4275">
        <w:rPr>
          <w:rFonts w:asciiTheme="minorHAnsi" w:eastAsiaTheme="minorHAnsi" w:hAnsiTheme="minorHAnsi"/>
        </w:rPr>
        <w:t>IP ZIT proponuje dodać zapis z Wytycznych:</w:t>
      </w:r>
    </w:p>
    <w:p w14:paraId="4726ED66" w14:textId="260E066D" w:rsidR="00BA4275" w:rsidRDefault="00BA4275" w:rsidP="00BA4275">
      <w:pPr>
        <w:pStyle w:val="Tekstkomentarza"/>
      </w:pPr>
      <w:r w:rsidRPr="00BA4275">
        <w:rPr>
          <w:rFonts w:asciiTheme="minorHAnsi" w:eastAsiaTheme="minorHAnsi" w:hAnsiTheme="minorHAnsi"/>
          <w:i/>
          <w:sz w:val="22"/>
          <w:szCs w:val="22"/>
        </w:rPr>
        <w:t>W wyjątkowych sytuacjach dopuszczalne jest uznanie neutralności produktu projektu. O neutralności produktu można mówić w sytuacji, kiedy wnioskodawca wykażewe wniosku o dofinansowanie projektu, że dostępność nie dotyczy danego produktu na przykład z uwagi na brak jego bezpośrednich użytkowników</w:t>
      </w:r>
    </w:p>
  </w:comment>
  <w:comment w:id="7" w:author="Pączkowska Magdalena" w:date="2018-07-05T12:24:00Z" w:initials="PM">
    <w:p w14:paraId="17CDB3C6" w14:textId="601DC01D" w:rsidR="00AA75B1" w:rsidRDefault="00AA75B1">
      <w:pPr>
        <w:pStyle w:val="Tekstkomentarza"/>
      </w:pPr>
      <w:r>
        <w:rPr>
          <w:rStyle w:val="Odwoaniedokomentarza"/>
        </w:rPr>
        <w:annotationRef/>
      </w:r>
      <w:r>
        <w:t>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4E668E" w15:done="0"/>
  <w15:commentEx w15:paraId="1035DA6C" w15:done="0"/>
  <w15:commentEx w15:paraId="24431911" w15:paraIdParent="1035DA6C" w15:done="0"/>
  <w15:commentEx w15:paraId="4726ED66" w15:paraIdParent="1035DA6C" w15:done="0"/>
  <w15:commentEx w15:paraId="17CDB3C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BE30" w14:textId="77777777" w:rsidR="001A3301" w:rsidRDefault="001A3301" w:rsidP="003F39E1">
      <w:pPr>
        <w:spacing w:before="0" w:after="0" w:line="240" w:lineRule="auto"/>
      </w:pPr>
      <w:r>
        <w:separator/>
      </w:r>
    </w:p>
  </w:endnote>
  <w:endnote w:type="continuationSeparator" w:id="0">
    <w:p w14:paraId="7F42E815" w14:textId="77777777" w:rsidR="001A3301" w:rsidRDefault="001A3301" w:rsidP="003F39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8470" w14:textId="77777777" w:rsidR="001A3301" w:rsidRDefault="001A3301" w:rsidP="003F39E1">
      <w:pPr>
        <w:spacing w:before="0" w:after="0" w:line="240" w:lineRule="auto"/>
      </w:pPr>
      <w:r>
        <w:separator/>
      </w:r>
    </w:p>
  </w:footnote>
  <w:footnote w:type="continuationSeparator" w:id="0">
    <w:p w14:paraId="45687A29" w14:textId="77777777" w:rsidR="001A3301" w:rsidRDefault="001A3301" w:rsidP="003F39E1">
      <w:pPr>
        <w:spacing w:before="0" w:after="0" w:line="240" w:lineRule="auto"/>
      </w:pPr>
      <w:r>
        <w:continuationSeparator/>
      </w:r>
    </w:p>
  </w:footnote>
  <w:footnote w:id="1">
    <w:p w14:paraId="0E22E038" w14:textId="77777777" w:rsidR="0094612D" w:rsidRPr="00086EE5" w:rsidRDefault="0094612D" w:rsidP="0094612D">
      <w:pPr>
        <w:pStyle w:val="Tekstprzypisudolnego"/>
        <w:jc w:val="both"/>
        <w:rPr>
          <w:rFonts w:cs="Arial"/>
          <w:szCs w:val="16"/>
        </w:rPr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>wyłącza możliwości przeprowadzenia przed dniem przekazania informacji o wyborze projektu do dofinansowania kontroli prawidłowości udzielenia zamówień w projekcie, której wynik determinuje ostateczną kwalifikowalność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kwalifikowalności wydatków w ramach EFRR, EFS oraz FS na lata 2014 – 2020.</w:t>
      </w:r>
      <w:r>
        <w:rPr>
          <w:rFonts w:cs="Arial"/>
          <w:szCs w:val="16"/>
        </w:rPr>
        <w:t xml:space="preserve"> </w:t>
      </w:r>
    </w:p>
    <w:p w14:paraId="6B006BE7" w14:textId="77777777" w:rsidR="0094612D" w:rsidRDefault="0094612D" w:rsidP="0094612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B654" w14:textId="1F8E6124" w:rsidR="009A3F6F" w:rsidRDefault="009A3F6F" w:rsidP="009A3F6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9</w:t>
    </w:r>
    <w:r w:rsidR="00635BC0">
      <w:rPr>
        <w:rFonts w:ascii="Calibri" w:eastAsia="Calibri" w:hAnsi="Calibri" w:cs="Arial"/>
        <w:noProof/>
        <w:sz w:val="14"/>
        <w:szCs w:val="14"/>
        <w:lang w:eastAsia="pl-PL"/>
      </w:rPr>
      <w:t>7</w:t>
    </w:r>
    <w:r>
      <w:rPr>
        <w:rFonts w:ascii="Calibri" w:eastAsia="Calibri" w:hAnsi="Calibri" w:cs="Arial"/>
        <w:noProof/>
        <w:sz w:val="14"/>
        <w:szCs w:val="14"/>
        <w:lang w:eastAsia="pl-PL"/>
      </w:rPr>
      <w:t>/XXXIX/2018</w:t>
    </w:r>
  </w:p>
  <w:p w14:paraId="36966E83" w14:textId="77777777" w:rsidR="009A3F6F" w:rsidRDefault="009A3F6F" w:rsidP="009A3F6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eastAsia="Times New Roman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441A61B2" w14:textId="77777777" w:rsidR="009A3F6F" w:rsidRDefault="009A3F6F" w:rsidP="009A3F6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4322B5CB" w14:textId="77777777" w:rsidR="009A3F6F" w:rsidRDefault="009A3F6F" w:rsidP="009A3F6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18D8BE10" w14:textId="77777777" w:rsidR="009A3F6F" w:rsidRDefault="009A3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ączkowska Magdalena">
    <w15:presenceInfo w15:providerId="AD" w15:userId="S-1-5-21-3614740060-3577846218-3186316695-10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E1"/>
    <w:rsid w:val="000033C6"/>
    <w:rsid w:val="000D1FBE"/>
    <w:rsid w:val="001763CA"/>
    <w:rsid w:val="001A3301"/>
    <w:rsid w:val="001D0D8C"/>
    <w:rsid w:val="00204754"/>
    <w:rsid w:val="002951EE"/>
    <w:rsid w:val="002E2F9A"/>
    <w:rsid w:val="00314479"/>
    <w:rsid w:val="003808C6"/>
    <w:rsid w:val="00391EA1"/>
    <w:rsid w:val="003D74CB"/>
    <w:rsid w:val="003F39E1"/>
    <w:rsid w:val="00483DF2"/>
    <w:rsid w:val="004B2DE8"/>
    <w:rsid w:val="005115CA"/>
    <w:rsid w:val="00523886"/>
    <w:rsid w:val="00635BC0"/>
    <w:rsid w:val="007262A9"/>
    <w:rsid w:val="007B1061"/>
    <w:rsid w:val="007C3F21"/>
    <w:rsid w:val="008C3A79"/>
    <w:rsid w:val="0094612D"/>
    <w:rsid w:val="009A3F6F"/>
    <w:rsid w:val="00A164E0"/>
    <w:rsid w:val="00A80557"/>
    <w:rsid w:val="00A83F97"/>
    <w:rsid w:val="00AA75B1"/>
    <w:rsid w:val="00AB6CE3"/>
    <w:rsid w:val="00BA4275"/>
    <w:rsid w:val="00C95521"/>
    <w:rsid w:val="00CA63EC"/>
    <w:rsid w:val="00CB5883"/>
    <w:rsid w:val="00CB766E"/>
    <w:rsid w:val="00CB7EDD"/>
    <w:rsid w:val="00D056D8"/>
    <w:rsid w:val="00E475AD"/>
    <w:rsid w:val="00E70E31"/>
    <w:rsid w:val="00F263B2"/>
    <w:rsid w:val="00F623BD"/>
    <w:rsid w:val="00F728C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453C"/>
  <w15:chartTrackingRefBased/>
  <w15:docId w15:val="{FCD66E6F-AD46-43E3-8897-82D03D9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9E1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3F39E1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rsid w:val="003F39E1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F39E1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99"/>
    <w:qFormat/>
    <w:rsid w:val="003F39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5A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5AD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4612D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612D"/>
    <w:rPr>
      <w:rFonts w:ascii="Times New Roman" w:eastAsiaTheme="minorEastAsia" w:hAnsi="Times New Roman"/>
      <w:noProof/>
      <w:sz w:val="24"/>
      <w:szCs w:val="20"/>
    </w:rPr>
  </w:style>
  <w:style w:type="paragraph" w:customStyle="1" w:styleId="Akapitzlist1">
    <w:name w:val="Akapit z listą1"/>
    <w:basedOn w:val="Normalny"/>
    <w:uiPriority w:val="99"/>
    <w:rsid w:val="0094612D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CB588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2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2A9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2A9"/>
    <w:rPr>
      <w:rFonts w:ascii="Arial" w:eastAsiaTheme="minorEastAsia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3F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F6F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A3F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F6F"/>
    <w:rPr>
      <w:rFonts w:ascii="Arial" w:eastAsiaTheme="minorEastAsia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DFE1-C2C7-4F86-96AE-B407B1FB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Staniaszek Waldemar</cp:lastModifiedBy>
  <cp:revision>4</cp:revision>
  <cp:lastPrinted>2018-09-28T06:58:00Z</cp:lastPrinted>
  <dcterms:created xsi:type="dcterms:W3CDTF">2018-09-04T10:24:00Z</dcterms:created>
  <dcterms:modified xsi:type="dcterms:W3CDTF">2018-09-28T07:04:00Z</dcterms:modified>
</cp:coreProperties>
</file>