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B8" w:rsidRDefault="00AF4EB8" w:rsidP="006E4DA6">
      <w:pPr>
        <w:spacing w:line="360" w:lineRule="auto"/>
        <w:rPr>
          <w:rFonts w:ascii="Calibri" w:eastAsia="Calibri" w:hAnsi="Calibri" w:cs="Arial"/>
          <w:color w:val="000000"/>
          <w:sz w:val="20"/>
          <w:szCs w:val="20"/>
        </w:rPr>
      </w:pPr>
    </w:p>
    <w:p w:rsidR="002151AB" w:rsidRPr="006E4DA6" w:rsidRDefault="002151AB" w:rsidP="006E4DA6">
      <w:pPr>
        <w:spacing w:line="36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6E4DA6">
        <w:rPr>
          <w:rFonts w:ascii="Calibri" w:eastAsia="Calibri" w:hAnsi="Calibri" w:cs="Arial"/>
          <w:color w:val="000000"/>
          <w:sz w:val="20"/>
          <w:szCs w:val="20"/>
        </w:rPr>
        <w:t>Karta zmian do Regulaminu konkursu: RPMA.01.02.00-IP.01-14-086/18</w:t>
      </w:r>
    </w:p>
    <w:p w:rsidR="002151AB" w:rsidRPr="006E4DA6" w:rsidRDefault="002151AB" w:rsidP="006E4DA6">
      <w:pPr>
        <w:spacing w:line="360" w:lineRule="auto"/>
        <w:rPr>
          <w:rFonts w:ascii="Calibri" w:eastAsia="Calibri" w:hAnsi="Calibri" w:cs="Arial"/>
          <w:color w:val="000000"/>
          <w:sz w:val="20"/>
          <w:szCs w:val="20"/>
        </w:rPr>
      </w:pPr>
      <w:r w:rsidRPr="006E4DA6">
        <w:rPr>
          <w:rFonts w:ascii="Calibri" w:eastAsia="Calibri" w:hAnsi="Calibri" w:cs="Arial"/>
          <w:color w:val="000000"/>
          <w:sz w:val="20"/>
          <w:szCs w:val="20"/>
        </w:rPr>
        <w:t xml:space="preserve">Oś priorytetowa I Wykorzystanie działalności badawczo-rozwojowej w gospodarce - Działanie 1.2  Działalność badawczo - rozwojowa przedsiębiorstw - Typ projektów: Proces eksperymentowania i poszukiwania nisz rozwojowych i innowacyjnych (konkurs nieprofilowany).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"/>
        <w:gridCol w:w="688"/>
        <w:gridCol w:w="4182"/>
        <w:gridCol w:w="2780"/>
        <w:gridCol w:w="2729"/>
        <w:gridCol w:w="2973"/>
      </w:tblGrid>
      <w:tr w:rsidR="006E4DA6" w:rsidTr="00AF4EB8">
        <w:tc>
          <w:tcPr>
            <w:tcW w:w="652" w:type="dxa"/>
            <w:vAlign w:val="center"/>
          </w:tcPr>
          <w:p w:rsidR="006E4DA6" w:rsidRPr="00E70FF9" w:rsidRDefault="006E4DA6" w:rsidP="00AF4EB8">
            <w:pPr>
              <w:jc w:val="center"/>
              <w:rPr>
                <w:b/>
                <w:sz w:val="20"/>
                <w:szCs w:val="20"/>
              </w:rPr>
            </w:pPr>
            <w:r w:rsidRPr="00E70FF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85" w:type="dxa"/>
            <w:gridSpan w:val="2"/>
            <w:vAlign w:val="center"/>
          </w:tcPr>
          <w:p w:rsidR="006E4DA6" w:rsidRPr="00E70FF9" w:rsidRDefault="006E4DA6" w:rsidP="00AF4EB8">
            <w:pPr>
              <w:jc w:val="center"/>
              <w:rPr>
                <w:b/>
              </w:rPr>
            </w:pPr>
            <w:r w:rsidRPr="00E70FF9">
              <w:rPr>
                <w:b/>
              </w:rPr>
              <w:t>Zmiana</w:t>
            </w:r>
          </w:p>
        </w:tc>
        <w:tc>
          <w:tcPr>
            <w:tcW w:w="2835" w:type="dxa"/>
            <w:vAlign w:val="center"/>
          </w:tcPr>
          <w:p w:rsidR="006E4DA6" w:rsidRPr="00E70FF9" w:rsidRDefault="006E4DA6" w:rsidP="00AF4EB8">
            <w:pPr>
              <w:jc w:val="center"/>
              <w:rPr>
                <w:b/>
              </w:rPr>
            </w:pPr>
            <w:r w:rsidRPr="00E70FF9">
              <w:rPr>
                <w:b/>
              </w:rPr>
              <w:t>Zakres zmiany</w:t>
            </w:r>
          </w:p>
        </w:tc>
        <w:tc>
          <w:tcPr>
            <w:tcW w:w="2775" w:type="dxa"/>
            <w:vAlign w:val="center"/>
          </w:tcPr>
          <w:p w:rsidR="006E4DA6" w:rsidRPr="00E70FF9" w:rsidRDefault="006E4DA6" w:rsidP="00AF4EB8">
            <w:pPr>
              <w:jc w:val="center"/>
              <w:rPr>
                <w:b/>
              </w:rPr>
            </w:pPr>
            <w:r w:rsidRPr="00E70FF9">
              <w:rPr>
                <w:b/>
              </w:rPr>
              <w:t>Uzasadnienie</w:t>
            </w:r>
          </w:p>
        </w:tc>
        <w:tc>
          <w:tcPr>
            <w:tcW w:w="2973" w:type="dxa"/>
            <w:vAlign w:val="center"/>
          </w:tcPr>
          <w:p w:rsidR="006E4DA6" w:rsidRPr="00E70FF9" w:rsidRDefault="006E4DA6" w:rsidP="00AF4EB8">
            <w:pPr>
              <w:jc w:val="center"/>
              <w:rPr>
                <w:b/>
              </w:rPr>
            </w:pPr>
            <w:r w:rsidRPr="00E70FF9">
              <w:rPr>
                <w:b/>
              </w:rPr>
              <w:t>Termin od którego stosowane są zmiany</w:t>
            </w:r>
          </w:p>
        </w:tc>
      </w:tr>
      <w:tr w:rsidR="00A11E3E" w:rsidTr="00AF4EB8">
        <w:tc>
          <w:tcPr>
            <w:tcW w:w="652" w:type="dxa"/>
            <w:vMerge w:val="restart"/>
            <w:vAlign w:val="center"/>
          </w:tcPr>
          <w:p w:rsidR="00A11E3E" w:rsidRPr="00E70FF9" w:rsidRDefault="00A11E3E" w:rsidP="00AF4EB8">
            <w:pPr>
              <w:jc w:val="center"/>
              <w:rPr>
                <w:b/>
                <w:sz w:val="20"/>
                <w:szCs w:val="20"/>
              </w:rPr>
            </w:pPr>
            <w:r w:rsidRPr="00E70FF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4" w:type="dxa"/>
          </w:tcPr>
          <w:p w:rsidR="00A11E3E" w:rsidRPr="006E4DA6" w:rsidRDefault="00A11E3E" w:rsidP="002151AB">
            <w:pPr>
              <w:rPr>
                <w:sz w:val="20"/>
                <w:szCs w:val="20"/>
              </w:rPr>
            </w:pPr>
            <w:r w:rsidRPr="006E4DA6">
              <w:rPr>
                <w:sz w:val="20"/>
                <w:szCs w:val="20"/>
              </w:rPr>
              <w:t>było</w:t>
            </w:r>
          </w:p>
        </w:tc>
        <w:tc>
          <w:tcPr>
            <w:tcW w:w="4291" w:type="dxa"/>
          </w:tcPr>
          <w:p w:rsidR="00A11E3E" w:rsidRPr="006E4DA6" w:rsidRDefault="00A11E3E" w:rsidP="002151AB">
            <w:pPr>
              <w:rPr>
                <w:b/>
                <w:sz w:val="20"/>
                <w:szCs w:val="20"/>
              </w:rPr>
            </w:pPr>
            <w:r w:rsidRPr="006E4DA6">
              <w:rPr>
                <w:b/>
                <w:sz w:val="20"/>
                <w:szCs w:val="20"/>
              </w:rPr>
              <w:t>Pkt. 4.5.3.</w:t>
            </w:r>
          </w:p>
          <w:p w:rsidR="00A11E3E" w:rsidRPr="006E4DA6" w:rsidRDefault="00A11E3E" w:rsidP="00B53286">
            <w:pPr>
              <w:jc w:val="both"/>
              <w:rPr>
                <w:sz w:val="20"/>
                <w:szCs w:val="20"/>
              </w:rPr>
            </w:pPr>
            <w:r w:rsidRPr="006E4DA6">
              <w:rPr>
                <w:sz w:val="20"/>
                <w:szCs w:val="20"/>
              </w:rPr>
              <w:t>Koszty podwykonawstwa</w:t>
            </w:r>
          </w:p>
          <w:p w:rsidR="00A11E3E" w:rsidRPr="006E4DA6" w:rsidRDefault="00A11E3E" w:rsidP="00B53286">
            <w:pPr>
              <w:jc w:val="both"/>
              <w:rPr>
                <w:sz w:val="20"/>
                <w:szCs w:val="20"/>
              </w:rPr>
            </w:pPr>
            <w:r w:rsidRPr="006E4DA6">
              <w:rPr>
                <w:sz w:val="20"/>
                <w:szCs w:val="20"/>
              </w:rPr>
              <w:t>Jako koszty podwykonawstwa należy rozumieć zlecanie stronie trzeciej części merytorycznych prac projektu, które nie są wykonywane na terenie i pod bezpośrednim nadzorem beneficjenta. Za podwykonawstwo nie uznaje się czynności pomocniczych, niezbędnych do wykonania zadań projektowych takich jak usługi prawne lub księgowe. Zlecenie podwykonawstwa powinno zakończyć się realizacją/wykonaniem konkretnego zadania. Za podwykonawstwo nie można uznać sytuacji, w której jednostka naukowa jedynie koordynuje przebieg prac badawczych i świadczy usługi merytorycznego wsparcia dla działań w</w:t>
            </w:r>
            <w:r>
              <w:rPr>
                <w:sz w:val="20"/>
                <w:szCs w:val="20"/>
              </w:rPr>
              <w:t>ykonywanych przez wnioskodawcę.</w:t>
            </w:r>
          </w:p>
          <w:p w:rsidR="00A11E3E" w:rsidRPr="006E4DA6" w:rsidRDefault="00A11E3E" w:rsidP="00B53286">
            <w:pPr>
              <w:jc w:val="both"/>
              <w:rPr>
                <w:sz w:val="20"/>
                <w:szCs w:val="20"/>
              </w:rPr>
            </w:pPr>
            <w:r w:rsidRPr="006E4DA6">
              <w:rPr>
                <w:sz w:val="20"/>
                <w:szCs w:val="20"/>
              </w:rPr>
              <w:t>W ramach projektu podwykonawstwo części prac merytorycznych można zlecać wyłącznie uczelni publicznej, państwowemu instytutowi badawczemu, instytutowi PAN, która podlega ocenie jakości działalności naukowej lub badawczo-rozwojowej jednostek naukowych, i otrzymała co najmniej ocenę B</w:t>
            </w:r>
            <w:r w:rsidR="00E70FF9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6E4DA6">
              <w:rPr>
                <w:sz w:val="20"/>
                <w:szCs w:val="20"/>
              </w:rPr>
              <w:t>W projekcie możliwe jest powierzenie realizacji c</w:t>
            </w:r>
            <w:r w:rsidR="00FC7A1F">
              <w:rPr>
                <w:sz w:val="20"/>
                <w:szCs w:val="20"/>
              </w:rPr>
              <w:t xml:space="preserve">zęści prac badawczo-rozwojowych </w:t>
            </w:r>
            <w:r w:rsidRPr="006E4DA6">
              <w:rPr>
                <w:sz w:val="20"/>
                <w:szCs w:val="20"/>
              </w:rPr>
              <w:t xml:space="preserve">podwykonawcom. </w:t>
            </w:r>
            <w:r w:rsidRPr="006E4DA6">
              <w:rPr>
                <w:sz w:val="20"/>
                <w:szCs w:val="20"/>
              </w:rPr>
              <w:lastRenderedPageBreak/>
              <w:t>Koszty podwykonawstwa nie mogą przekroczyć 50% wartości kosztów kwalifikowalnych, w sytuacji  gdy wnioskodawca jest średnim lub dużym przedsiębiorcą. W sytuacji, gdy wnioskodawca jest małym przedsiębiorcą koszty podwykonawstwa nie mogą przekroczyć 60% kosztów kwalifikowalnych.</w:t>
            </w:r>
          </w:p>
          <w:p w:rsidR="000C41EB" w:rsidRPr="006E4DA6" w:rsidRDefault="000C41EB" w:rsidP="00B53286">
            <w:pPr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A11E3E" w:rsidRPr="00E70FF9" w:rsidRDefault="00E70FF9" w:rsidP="00E70FF9">
            <w:pPr>
              <w:jc w:val="both"/>
              <w:rPr>
                <w:sz w:val="16"/>
                <w:szCs w:val="16"/>
              </w:rPr>
            </w:pPr>
            <w:r w:rsidRPr="00E70FF9">
              <w:rPr>
                <w:rFonts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. </w:t>
            </w:r>
            <w:r w:rsidR="00A11E3E" w:rsidRPr="00E70FF9">
              <w:rPr>
                <w:rFonts w:cs="Arial"/>
                <w:bCs/>
                <w:color w:val="000000"/>
                <w:sz w:val="16"/>
                <w:szCs w:val="16"/>
              </w:rPr>
              <w:t>Zgodnie z Komunikatem Ministra Nauki I Szkolnictwa Wyższego z dnia 28 września 2018 r. o kategoriach naukowych przyznanych jednostkom naukowym i uczelniom, w których zgodnie z ich statutami nie wyodrębniono podstawowych jednostek organizacyjnych.</w:t>
            </w:r>
          </w:p>
          <w:p w:rsidR="00A11E3E" w:rsidRPr="006E4DA6" w:rsidRDefault="00A11E3E" w:rsidP="00AF4EB8">
            <w:pPr>
              <w:pStyle w:val="Akapitzlist"/>
              <w:ind w:left="10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1E3E" w:rsidRDefault="00A11E3E" w:rsidP="002151AB"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Modyfikacja zapisów w zakresie kosztów podwykonawstwa.</w:t>
            </w:r>
          </w:p>
        </w:tc>
        <w:tc>
          <w:tcPr>
            <w:tcW w:w="2775" w:type="dxa"/>
          </w:tcPr>
          <w:p w:rsidR="00C3393E" w:rsidRPr="00C3393E" w:rsidRDefault="000C41EB" w:rsidP="00C3393E">
            <w:pPr>
              <w:pStyle w:val="Tekstkomentarza"/>
              <w:jc w:val="both"/>
            </w:pPr>
            <w:r w:rsidRPr="006E4DA6">
              <w:rPr>
                <w:rFonts w:cs="Arial"/>
                <w:color w:val="000000"/>
              </w:rPr>
              <w:t xml:space="preserve">Zmiana umożliwia zlecenie prac merytorycznych w projekcie organizacjom prowadzącym badania i upowszechniającym wiedzę, które zgodnie z Komunikatem Ministra Nauki I Szkolnictwa Wyższego z dnia 28 września 2018 r. o kategoriach naukowych przyznanych jednostkom naukowym i uczelniom, w których zgodnie z ich statutami nie wyodrębniono podstawowych jednostek organizacyjnych, otrzymały ocenę B, co umożliwi poszerzenie katalogu podwykonawców, np. </w:t>
            </w:r>
            <w:r>
              <w:rPr>
                <w:rFonts w:cs="Arial"/>
                <w:color w:val="000000"/>
              </w:rPr>
              <w:t xml:space="preserve">o </w:t>
            </w:r>
            <w:r w:rsidRPr="006E4DA6">
              <w:rPr>
                <w:rFonts w:cs="Arial"/>
                <w:color w:val="000000"/>
              </w:rPr>
              <w:t>uczelnie niepubliczne, a jednocześnie zagwarantuje utrzymanie wysok</w:t>
            </w:r>
            <w:r>
              <w:rPr>
                <w:rFonts w:cs="Arial"/>
                <w:color w:val="000000"/>
              </w:rPr>
              <w:t>iej</w:t>
            </w:r>
            <w:r w:rsidRPr="006E4DA6">
              <w:rPr>
                <w:rFonts w:cs="Arial"/>
                <w:color w:val="000000"/>
              </w:rPr>
              <w:t xml:space="preserve"> jakoś</w:t>
            </w:r>
            <w:r>
              <w:rPr>
                <w:rFonts w:cs="Arial"/>
                <w:color w:val="000000"/>
              </w:rPr>
              <w:t>ci</w:t>
            </w:r>
            <w:r w:rsidRPr="006E4DA6">
              <w:rPr>
                <w:rFonts w:cs="Arial"/>
                <w:color w:val="000000"/>
              </w:rPr>
              <w:t xml:space="preserve"> usług, poprzez ograniczenie katalogu podwykonawców do tych, którzy posiadają kategorię </w:t>
            </w:r>
            <w:r>
              <w:rPr>
                <w:rFonts w:cs="Arial"/>
                <w:color w:val="000000"/>
              </w:rPr>
              <w:t xml:space="preserve">co najmniej </w:t>
            </w:r>
            <w:r w:rsidRPr="006E4DA6">
              <w:rPr>
                <w:rFonts w:cs="Arial"/>
                <w:color w:val="000000"/>
              </w:rPr>
              <w:t xml:space="preserve">B, których działalność corocznie </w:t>
            </w:r>
            <w:r w:rsidRPr="006E4DA6">
              <w:rPr>
                <w:rFonts w:cs="Arial"/>
                <w:color w:val="000000"/>
              </w:rPr>
              <w:lastRenderedPageBreak/>
              <w:t>podlega ocenie Ministra Nauki i Szkolnictwa Wyższego.</w:t>
            </w:r>
            <w:r w:rsidR="00C3393E" w:rsidRPr="00C3393E">
              <w:t xml:space="preserve"> </w:t>
            </w:r>
            <w:r w:rsidR="00C3393E">
              <w:t>Jednocześnie z</w:t>
            </w:r>
            <w:r w:rsidR="00C3393E" w:rsidRPr="00C3393E">
              <w:t>większenie katalogu potencjalnych podwykonawców zwiększy</w:t>
            </w:r>
            <w:r w:rsidR="00C3393E">
              <w:t xml:space="preserve"> </w:t>
            </w:r>
            <w:r w:rsidR="00C3393E" w:rsidRPr="00C3393E">
              <w:t xml:space="preserve"> konkurencyjność co może mieć wpływ na cenę, jakość i różnorodność realizowanych w ramach projektów usług B+R.  </w:t>
            </w:r>
          </w:p>
          <w:p w:rsidR="000C41EB" w:rsidRPr="006E4DA6" w:rsidRDefault="000C41EB" w:rsidP="00C3393E">
            <w:pPr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E4DA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Ponadto usunięto zdublowany zapis.</w:t>
            </w:r>
          </w:p>
          <w:p w:rsidR="00A11E3E" w:rsidRDefault="00A11E3E" w:rsidP="002151AB"/>
        </w:tc>
        <w:tc>
          <w:tcPr>
            <w:tcW w:w="2973" w:type="dxa"/>
          </w:tcPr>
          <w:p w:rsidR="00A11E3E" w:rsidRDefault="00A11E3E" w:rsidP="002151AB">
            <w:r w:rsidRPr="00E92B21">
              <w:rPr>
                <w:rFonts w:cs="Calibri"/>
                <w:color w:val="000000"/>
                <w:sz w:val="20"/>
                <w:szCs w:val="20"/>
              </w:rPr>
              <w:lastRenderedPageBreak/>
              <w:t>Zmiana obowiązuje od momentu publikacji zaktualizowanego regulaminu konkursu na stronach internetowych</w:t>
            </w:r>
            <w:r w:rsidRPr="00E92B21">
              <w:rPr>
                <w:rFonts w:cs="Calibri"/>
                <w:color w:val="1F497D"/>
                <w:sz w:val="20"/>
                <w:szCs w:val="20"/>
              </w:rPr>
              <w:t>:</w:t>
            </w:r>
            <w:r w:rsidRPr="00E92B21">
              <w:rPr>
                <w:rFonts w:cs="Calibri"/>
                <w:sz w:val="20"/>
                <w:szCs w:val="20"/>
              </w:rPr>
              <w:t xml:space="preserve"> </w:t>
            </w:r>
            <w:hyperlink r:id="rId8" w:history="1">
              <w:r w:rsidRPr="00E92B21">
                <w:rPr>
                  <w:rStyle w:val="Hipercze"/>
                  <w:rFonts w:cs="Calibri"/>
                  <w:color w:val="0070C0"/>
                  <w:sz w:val="20"/>
                  <w:szCs w:val="20"/>
                </w:rPr>
                <w:t>www.funduszedlamazowsza.eu</w:t>
              </w:r>
            </w:hyperlink>
            <w:r w:rsidRPr="00E92B21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  <w:r w:rsidRPr="00E92B21"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hyperlink r:id="rId9" w:history="1">
              <w:r w:rsidRPr="00E92B21">
                <w:rPr>
                  <w:rStyle w:val="Hipercze"/>
                  <w:rFonts w:cs="Calibri"/>
                  <w:color w:val="0070C0"/>
                  <w:sz w:val="20"/>
                  <w:szCs w:val="20"/>
                </w:rPr>
                <w:t>www.funduszeeuropejskie.gov.pl</w:t>
              </w:r>
            </w:hyperlink>
            <w:r w:rsidRPr="00E92B21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A11E3E" w:rsidRDefault="00A11E3E" w:rsidP="002151AB">
            <w:bookmarkStart w:id="0" w:name="_GoBack"/>
            <w:bookmarkEnd w:id="0"/>
          </w:p>
        </w:tc>
      </w:tr>
      <w:tr w:rsidR="00A11E3E" w:rsidTr="00AF4EB8">
        <w:tc>
          <w:tcPr>
            <w:tcW w:w="652" w:type="dxa"/>
            <w:vMerge/>
          </w:tcPr>
          <w:p w:rsidR="00A11E3E" w:rsidRPr="006E4DA6" w:rsidRDefault="00A11E3E" w:rsidP="002151AB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A11E3E" w:rsidRPr="006E4DA6" w:rsidRDefault="00A11E3E" w:rsidP="002151AB">
            <w:pPr>
              <w:rPr>
                <w:sz w:val="20"/>
                <w:szCs w:val="20"/>
              </w:rPr>
            </w:pPr>
            <w:r w:rsidRPr="006E4DA6">
              <w:rPr>
                <w:sz w:val="20"/>
                <w:szCs w:val="20"/>
              </w:rPr>
              <w:t>jest</w:t>
            </w:r>
          </w:p>
        </w:tc>
        <w:tc>
          <w:tcPr>
            <w:tcW w:w="4291" w:type="dxa"/>
          </w:tcPr>
          <w:p w:rsidR="00A11E3E" w:rsidRPr="00AF4EB8" w:rsidRDefault="00A11E3E" w:rsidP="002151AB">
            <w:pPr>
              <w:rPr>
                <w:b/>
                <w:sz w:val="20"/>
                <w:szCs w:val="20"/>
              </w:rPr>
            </w:pPr>
            <w:r w:rsidRPr="00AF4EB8">
              <w:rPr>
                <w:b/>
                <w:sz w:val="20"/>
                <w:szCs w:val="20"/>
              </w:rPr>
              <w:t>Pkt. 4.5.3.</w:t>
            </w:r>
          </w:p>
          <w:p w:rsidR="000C41EB" w:rsidRPr="006E4DA6" w:rsidRDefault="000C41EB" w:rsidP="000C41EB">
            <w:pPr>
              <w:jc w:val="both"/>
              <w:rPr>
                <w:sz w:val="20"/>
                <w:szCs w:val="20"/>
              </w:rPr>
            </w:pPr>
            <w:r w:rsidRPr="006E4DA6">
              <w:rPr>
                <w:sz w:val="20"/>
                <w:szCs w:val="20"/>
              </w:rPr>
              <w:t>Koszty podwykonawstwa</w:t>
            </w:r>
          </w:p>
          <w:p w:rsidR="000C41EB" w:rsidRPr="006E4DA6" w:rsidRDefault="000C41EB" w:rsidP="000C41EB">
            <w:pPr>
              <w:jc w:val="both"/>
              <w:rPr>
                <w:sz w:val="20"/>
                <w:szCs w:val="20"/>
              </w:rPr>
            </w:pPr>
            <w:r w:rsidRPr="006E4DA6">
              <w:rPr>
                <w:sz w:val="20"/>
                <w:szCs w:val="20"/>
              </w:rPr>
              <w:t xml:space="preserve">Jako koszty podwykonawstwa należy rozumieć zlecanie stronie trzeciej części merytorycznych prac projektu, które nie są wykonywane na terenie i pod bezpośrednim nadzorem beneficjenta. Za podwykonawstwo nie uznaje się czynności pomocniczych, niezbędnych do wykonania zadań projektowych takich jak usługi prawne lub księgowe. Zlecenie podwykonawstwa powinno zakończyć się realizacją/wykonaniem konkretnego zadania. Za podwykonawstwo nie można uznać sytuacji, w której jednostka naukowa jedynie koordynuje przebieg prac badawczych i świadczy usługi merytorycznego wsparcia dla działań wykonywanych przez wnioskodawcę. </w:t>
            </w:r>
          </w:p>
          <w:p w:rsidR="00A11E3E" w:rsidRDefault="000C41EB" w:rsidP="000C41EB">
            <w:pPr>
              <w:jc w:val="both"/>
              <w:rPr>
                <w:sz w:val="20"/>
                <w:szCs w:val="20"/>
              </w:rPr>
            </w:pPr>
            <w:r w:rsidRPr="006E4DA6">
              <w:rPr>
                <w:sz w:val="20"/>
                <w:szCs w:val="20"/>
              </w:rPr>
              <w:t xml:space="preserve">W ramach projektu podwykonawstwo części prac merytorycznych można zlecać organizacji prowadzącej badania i upowszechniającej wiedzę, o której mowa w art. 2 pkt 83 rozporządzenia Komisji (UE) nr 651/2014 z dnia 17 czerwca 2014 r. </w:t>
            </w:r>
            <w:r w:rsidRPr="002A6AC5">
              <w:rPr>
                <w:sz w:val="20"/>
                <w:szCs w:val="20"/>
              </w:rPr>
              <w:t xml:space="preserve">uznające niektóre rodzaje pomocy za zgodne z rynkiem wewnętrznym w </w:t>
            </w:r>
            <w:r w:rsidRPr="002A6AC5">
              <w:rPr>
                <w:sz w:val="20"/>
                <w:szCs w:val="20"/>
              </w:rPr>
              <w:lastRenderedPageBreak/>
              <w:t>zastosowaniu art. 107 i 108 Traktatu</w:t>
            </w:r>
            <w:r>
              <w:rPr>
                <w:sz w:val="20"/>
                <w:szCs w:val="20"/>
              </w:rPr>
              <w:t xml:space="preserve"> </w:t>
            </w:r>
            <w:r w:rsidRPr="006E4DA6">
              <w:rPr>
                <w:sz w:val="20"/>
                <w:szCs w:val="20"/>
              </w:rPr>
              <w:t>i która otrzymała co najmniej ocenę B</w:t>
            </w:r>
            <w:r w:rsidRPr="00E70FF9">
              <w:rPr>
                <w:sz w:val="20"/>
                <w:szCs w:val="20"/>
                <w:vertAlign w:val="superscript"/>
              </w:rPr>
              <w:t>2</w:t>
            </w:r>
            <w:r w:rsidRPr="006E4DA6">
              <w:rPr>
                <w:sz w:val="20"/>
                <w:szCs w:val="20"/>
              </w:rPr>
              <w:t>.  Koszty podwykonawstwa nie mogą przekroczyć 50% wartości kosztów kwalifikowalnych, w sytuacji  gdy wnioskodawca jest średnim lub dużym przedsiębiorcą. W sytuacji, gdy wnioskodawca jest małym przedsiębiorcą koszty podwykonawstwa nie mogą przekroczyć 60% kosztów kwalifikowalnych.</w:t>
            </w:r>
          </w:p>
          <w:p w:rsidR="000C41EB" w:rsidRPr="000C41EB" w:rsidRDefault="000C41EB" w:rsidP="000C41EB">
            <w:pPr>
              <w:jc w:val="both"/>
              <w:rPr>
                <w:sz w:val="20"/>
                <w:szCs w:val="20"/>
              </w:rPr>
            </w:pPr>
          </w:p>
          <w:p w:rsidR="00A11E3E" w:rsidRPr="00E70FF9" w:rsidRDefault="00E70FF9" w:rsidP="00E70FF9">
            <w:pPr>
              <w:jc w:val="both"/>
              <w:rPr>
                <w:sz w:val="16"/>
                <w:szCs w:val="16"/>
              </w:rPr>
            </w:pPr>
            <w:r w:rsidRPr="00E70FF9">
              <w:rPr>
                <w:rFonts w:cs="Arial"/>
                <w:bCs/>
                <w:color w:val="000000"/>
                <w:sz w:val="16"/>
                <w:szCs w:val="16"/>
                <w:vertAlign w:val="superscript"/>
              </w:rPr>
              <w:t xml:space="preserve">2, </w:t>
            </w:r>
            <w:r w:rsidR="00A11E3E" w:rsidRPr="00E70FF9">
              <w:rPr>
                <w:rFonts w:cs="Arial"/>
                <w:bCs/>
                <w:color w:val="000000"/>
                <w:sz w:val="16"/>
                <w:szCs w:val="16"/>
              </w:rPr>
              <w:t>Zgodnie z Komunikatem Ministra Nauki I Szkolnictwa Wyższego z dnia 28 września 2018 r. o kategoriach naukowych przyznanych jednostkom naukowym i uczelniom, w których zgodnie z ich statutami nie wyodrębniono podstawowych jednostek organizacyjnych.</w:t>
            </w:r>
          </w:p>
        </w:tc>
        <w:tc>
          <w:tcPr>
            <w:tcW w:w="2835" w:type="dxa"/>
          </w:tcPr>
          <w:p w:rsidR="00A11E3E" w:rsidRDefault="00A11E3E" w:rsidP="002151AB"/>
        </w:tc>
        <w:tc>
          <w:tcPr>
            <w:tcW w:w="2775" w:type="dxa"/>
          </w:tcPr>
          <w:p w:rsidR="00A11E3E" w:rsidRDefault="00A11E3E" w:rsidP="002151AB"/>
        </w:tc>
        <w:tc>
          <w:tcPr>
            <w:tcW w:w="2973" w:type="dxa"/>
          </w:tcPr>
          <w:p w:rsidR="00A11E3E" w:rsidRDefault="00A11E3E" w:rsidP="002151AB"/>
        </w:tc>
      </w:tr>
    </w:tbl>
    <w:p w:rsidR="002151AB" w:rsidRDefault="002151AB" w:rsidP="002151AB"/>
    <w:sectPr w:rsidR="002151AB" w:rsidSect="00FC7A1F">
      <w:head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EC" w:rsidRDefault="004B6FEC" w:rsidP="002151AB">
      <w:pPr>
        <w:spacing w:after="0" w:line="240" w:lineRule="auto"/>
      </w:pPr>
      <w:r>
        <w:separator/>
      </w:r>
    </w:p>
  </w:endnote>
  <w:endnote w:type="continuationSeparator" w:id="0">
    <w:p w:rsidR="004B6FEC" w:rsidRDefault="004B6FEC" w:rsidP="0021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EC" w:rsidRDefault="004B6FEC" w:rsidP="002151AB">
      <w:pPr>
        <w:spacing w:after="0" w:line="240" w:lineRule="auto"/>
      </w:pPr>
      <w:r>
        <w:separator/>
      </w:r>
    </w:p>
  </w:footnote>
  <w:footnote w:type="continuationSeparator" w:id="0">
    <w:p w:rsidR="004B6FEC" w:rsidRDefault="004B6FEC" w:rsidP="0021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AB" w:rsidRDefault="002151AB" w:rsidP="00AF4EB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1F" w:rsidRDefault="00FC7A1F" w:rsidP="00FC7A1F">
    <w:pPr>
      <w:pStyle w:val="Nagwek"/>
      <w:tabs>
        <w:tab w:val="clear" w:pos="4536"/>
        <w:tab w:val="clear" w:pos="9072"/>
        <w:tab w:val="left" w:pos="4560"/>
      </w:tabs>
    </w:pPr>
    <w:r w:rsidRPr="00FC7A1F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C4893AF" wp14:editId="2C3E0CBD">
          <wp:simplePos x="0" y="0"/>
          <wp:positionH relativeFrom="margin">
            <wp:posOffset>681355</wp:posOffset>
          </wp:positionH>
          <wp:positionV relativeFrom="paragraph">
            <wp:posOffset>-1905</wp:posOffset>
          </wp:positionV>
          <wp:extent cx="7562850" cy="682625"/>
          <wp:effectExtent l="0" t="0" r="0" b="3175"/>
          <wp:wrapNone/>
          <wp:docPr id="2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1EDC"/>
    <w:multiLevelType w:val="hybridMultilevel"/>
    <w:tmpl w:val="20024CC4"/>
    <w:lvl w:ilvl="0" w:tplc="8ECE13C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452D7D"/>
    <w:multiLevelType w:val="hybridMultilevel"/>
    <w:tmpl w:val="20024CC4"/>
    <w:lvl w:ilvl="0" w:tplc="8ECE13C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AB"/>
    <w:rsid w:val="000C41EB"/>
    <w:rsid w:val="00143061"/>
    <w:rsid w:val="002151AB"/>
    <w:rsid w:val="00325317"/>
    <w:rsid w:val="004B57B9"/>
    <w:rsid w:val="004B6FEC"/>
    <w:rsid w:val="005D6FC9"/>
    <w:rsid w:val="006E4DA6"/>
    <w:rsid w:val="00A11E3E"/>
    <w:rsid w:val="00AD7F72"/>
    <w:rsid w:val="00AF4EB8"/>
    <w:rsid w:val="00B53286"/>
    <w:rsid w:val="00C3393E"/>
    <w:rsid w:val="00E70FF9"/>
    <w:rsid w:val="00ED77B7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04850A-7D65-4703-8287-3610F3A9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1AB"/>
  </w:style>
  <w:style w:type="paragraph" w:styleId="Stopka">
    <w:name w:val="footer"/>
    <w:basedOn w:val="Normalny"/>
    <w:link w:val="StopkaZnak"/>
    <w:uiPriority w:val="99"/>
    <w:unhideWhenUsed/>
    <w:rsid w:val="0021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1AB"/>
  </w:style>
  <w:style w:type="paragraph" w:styleId="Tekstdymka">
    <w:name w:val="Balloon Text"/>
    <w:basedOn w:val="Normalny"/>
    <w:link w:val="TekstdymkaZnak"/>
    <w:uiPriority w:val="99"/>
    <w:semiHidden/>
    <w:unhideWhenUsed/>
    <w:rsid w:val="0021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1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DA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F4EB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93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93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2C7D-7C1F-476C-A68B-BD1FA2D3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h.dziakowska</dc:creator>
  <cp:lastModifiedBy>Tyszkiewicz Marcin</cp:lastModifiedBy>
  <cp:revision>3</cp:revision>
  <cp:lastPrinted>2019-01-30T11:39:00Z</cp:lastPrinted>
  <dcterms:created xsi:type="dcterms:W3CDTF">2019-01-31T08:53:00Z</dcterms:created>
  <dcterms:modified xsi:type="dcterms:W3CDTF">2019-01-31T08:59:00Z</dcterms:modified>
</cp:coreProperties>
</file>