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2B" w:rsidRDefault="00153E2B" w:rsidP="00153E2B">
      <w:pPr>
        <w:spacing w:before="100" w:beforeAutospacing="1" w:after="100" w:afterAutospacing="1" w:line="240" w:lineRule="auto"/>
        <w:jc w:val="right"/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12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do regulaminu konkursu nr </w:t>
      </w:r>
      <w:r>
        <w:rPr>
          <w:rFonts w:ascii="Arial" w:hAnsi="Arial" w:cs="Arial"/>
          <w:b/>
          <w:sz w:val="20"/>
          <w:szCs w:val="20"/>
        </w:rPr>
        <w:t>RPMA.</w:t>
      </w:r>
      <w:r w:rsidRPr="00930D1E">
        <w:rPr>
          <w:rFonts w:ascii="Arial" w:hAnsi="Arial" w:cs="Arial"/>
          <w:b/>
          <w:sz w:val="20"/>
          <w:szCs w:val="20"/>
        </w:rPr>
        <w:t>08.03</w:t>
      </w:r>
      <w:r>
        <w:rPr>
          <w:rFonts w:ascii="Arial" w:hAnsi="Arial" w:cs="Arial"/>
          <w:b/>
          <w:sz w:val="20"/>
          <w:szCs w:val="20"/>
        </w:rPr>
        <w:t>.01</w:t>
      </w:r>
      <w:r w:rsidRPr="00930D1E">
        <w:rPr>
          <w:rFonts w:ascii="Arial" w:hAnsi="Arial" w:cs="Arial"/>
          <w:b/>
          <w:sz w:val="20"/>
          <w:szCs w:val="20"/>
        </w:rPr>
        <w:t>-IP.02-14-001/16</w:t>
      </w:r>
    </w:p>
    <w:p w:rsidR="008C13EF" w:rsidRDefault="008C13EF" w:rsidP="008C13EF">
      <w:pPr>
        <w:pStyle w:val="Akapitzlist"/>
        <w:spacing w:before="200" w:after="120"/>
        <w:ind w:left="425"/>
        <w:contextualSpacing w:val="0"/>
        <w:jc w:val="both"/>
      </w:pPr>
    </w:p>
    <w:p w:rsidR="008C13EF" w:rsidRPr="00950B55" w:rsidRDefault="008C13EF" w:rsidP="008C13EF">
      <w:pPr>
        <w:pStyle w:val="Akapitzlist"/>
        <w:spacing w:before="200" w:after="120"/>
        <w:ind w:left="425"/>
        <w:contextualSpacing w:val="0"/>
        <w:jc w:val="center"/>
        <w:rPr>
          <w:b/>
          <w:sz w:val="44"/>
          <w:szCs w:val="44"/>
        </w:rPr>
      </w:pPr>
      <w:r w:rsidRPr="00950B55">
        <w:rPr>
          <w:b/>
          <w:sz w:val="44"/>
          <w:szCs w:val="44"/>
        </w:rPr>
        <w:t xml:space="preserve">PODZIAŁ JEDNOSTEK PRZESTRZENNYCH WOJEWÓDZTWA </w:t>
      </w:r>
      <w:r>
        <w:rPr>
          <w:b/>
          <w:sz w:val="44"/>
          <w:szCs w:val="44"/>
        </w:rPr>
        <w:t>MAZOWIEC</w:t>
      </w:r>
      <w:r w:rsidRPr="00950B55">
        <w:rPr>
          <w:b/>
          <w:sz w:val="44"/>
          <w:szCs w:val="44"/>
        </w:rPr>
        <w:t xml:space="preserve">KIEGO </w:t>
      </w:r>
      <w:r>
        <w:rPr>
          <w:b/>
          <w:sz w:val="44"/>
          <w:szCs w:val="44"/>
        </w:rPr>
        <w:br/>
      </w:r>
      <w:r w:rsidRPr="00950B55">
        <w:rPr>
          <w:b/>
          <w:sz w:val="44"/>
          <w:szCs w:val="44"/>
        </w:rPr>
        <w:t>WG KLASYFIKACJI DEGURBA</w:t>
      </w:r>
    </w:p>
    <w:p w:rsidR="008C13EF" w:rsidRDefault="008C13EF" w:rsidP="008C13EF">
      <w:pPr>
        <w:pStyle w:val="Akapitzlist"/>
        <w:spacing w:before="200" w:after="120"/>
        <w:ind w:left="425"/>
        <w:contextualSpacing w:val="0"/>
        <w:jc w:val="both"/>
      </w:pPr>
    </w:p>
    <w:p w:rsidR="008C13EF" w:rsidRDefault="008C13EF" w:rsidP="008C13EF">
      <w:pPr>
        <w:pStyle w:val="Akapitzlist"/>
        <w:spacing w:before="200" w:after="120"/>
        <w:ind w:left="425"/>
        <w:contextualSpacing w:val="0"/>
        <w:jc w:val="right"/>
      </w:pPr>
    </w:p>
    <w:p w:rsidR="008C13EF" w:rsidRPr="00722FB9" w:rsidRDefault="008C13EF" w:rsidP="008C13EF">
      <w:pPr>
        <w:pStyle w:val="Akapitzlist"/>
        <w:spacing w:before="200" w:after="120"/>
        <w:ind w:left="0" w:firstLine="426"/>
        <w:contextualSpacing w:val="0"/>
        <w:jc w:val="both"/>
        <w:rPr>
          <w:color w:val="C00000"/>
          <w:sz w:val="26"/>
          <w:szCs w:val="26"/>
        </w:rPr>
      </w:pPr>
      <w:r>
        <w:t>Zbierając od uczestników dane dotyczące miejsca zamieszkania, należy mieć na uwadze, iż w perspektywie finansowej 2014-2020 obszary wiejskie należy rozumieć zgodnie ze stopniem urbanizacji ujętym w klasyfikacji DEGURBA. Zgodnie z klasyfikacją DEGURBA jednostki przestrzenne przyporządkowane są do następujących kategorii: słabo zaludnione, pośrednie, gęsto zaludnione. Założenia metodologiczne DEGURBA opierają się na kryterium gęstości zaludnienia i minimalnej liczby ludności. Zaklasyfikowanie terenów jako</w:t>
      </w:r>
      <w:r>
        <w:rPr>
          <w:rStyle w:val="Odwoanieprzypisudolnego"/>
        </w:rPr>
        <w:footnoteReference w:id="1"/>
      </w:r>
      <w:r>
        <w:t>:</w:t>
      </w:r>
    </w:p>
    <w:p w:rsidR="008C13EF" w:rsidRDefault="008C13EF" w:rsidP="008C13EF">
      <w:pPr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b/>
          <w:bCs/>
        </w:rPr>
        <w:t>obszary słabo zaludnione (wiejskie)</w:t>
      </w:r>
      <w:r>
        <w:t xml:space="preserve"> – 50% ludności zamieszkuje obszary wiejskie</w:t>
      </w:r>
      <w:r>
        <w:rPr>
          <w:rStyle w:val="Odwoanieprzypisudolnego"/>
        </w:rPr>
        <w:footnoteReference w:id="2"/>
      </w:r>
      <w:r>
        <w:t xml:space="preserve">; </w:t>
      </w:r>
    </w:p>
    <w:p w:rsidR="008C13EF" w:rsidRDefault="008C13EF" w:rsidP="008C13EF">
      <w:pPr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b/>
          <w:bCs/>
        </w:rPr>
        <w:t>pośrednie (miasta, przedmieścia)</w:t>
      </w:r>
      <w:r>
        <w:t xml:space="preserve"> – poniżej 50% ludności zamieszkuje obszary wiejskie i poniżej 50% ludności obszary o dużej gęstości zaludnienia</w:t>
      </w:r>
      <w:r>
        <w:rPr>
          <w:rStyle w:val="Odwoanieprzypisudolnego"/>
        </w:rPr>
        <w:footnoteReference w:id="3"/>
      </w:r>
      <w:r>
        <w:t xml:space="preserve">; </w:t>
      </w:r>
    </w:p>
    <w:p w:rsidR="008C13EF" w:rsidRDefault="008C13EF" w:rsidP="008C13EF">
      <w:pPr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b/>
          <w:bCs/>
        </w:rPr>
        <w:t>tereny gęsto zaludnione (miasta, centra miejskie, obszary miejskie)</w:t>
      </w:r>
      <w:r>
        <w:t xml:space="preserve"> – przynajmniej 50% ludności zamieszkuje obszary gęsto zaludnione.</w:t>
      </w:r>
    </w:p>
    <w:p w:rsidR="008C13EF" w:rsidRDefault="008C13EF" w:rsidP="008C13EF">
      <w:pPr>
        <w:spacing w:before="60" w:after="240"/>
        <w:ind w:firstLine="424"/>
        <w:jc w:val="both"/>
        <w:rPr>
          <w:bCs/>
        </w:rPr>
      </w:pPr>
      <w:r>
        <w:t xml:space="preserve">Według definicji Eurostat do </w:t>
      </w:r>
      <w:r>
        <w:rPr>
          <w:bCs/>
        </w:rPr>
        <w:t xml:space="preserve">terenów gęsto zaludnionych w województwie mazowieckim zalicza się miasta </w:t>
      </w:r>
      <w:r w:rsidRPr="002A6585">
        <w:rPr>
          <w:bCs/>
        </w:rPr>
        <w:t>Płock</w:t>
      </w:r>
      <w:r>
        <w:rPr>
          <w:bCs/>
        </w:rPr>
        <w:t xml:space="preserve">, </w:t>
      </w:r>
      <w:r w:rsidRPr="002A6585">
        <w:rPr>
          <w:bCs/>
        </w:rPr>
        <w:t>Radom</w:t>
      </w:r>
      <w:r>
        <w:rPr>
          <w:bCs/>
        </w:rPr>
        <w:t xml:space="preserve">, </w:t>
      </w:r>
      <w:r w:rsidRPr="002A6585">
        <w:rPr>
          <w:bCs/>
        </w:rPr>
        <w:t>Siedlce</w:t>
      </w:r>
      <w:r>
        <w:rPr>
          <w:bCs/>
        </w:rPr>
        <w:t xml:space="preserve">, </w:t>
      </w:r>
      <w:r w:rsidRPr="002A6585">
        <w:rPr>
          <w:bCs/>
        </w:rPr>
        <w:t>Warszawa</w:t>
      </w:r>
      <w:r>
        <w:rPr>
          <w:bCs/>
        </w:rPr>
        <w:t xml:space="preserve">. Natomiast do terenów pośrednich gminy: </w:t>
      </w:r>
      <w:r w:rsidRPr="002A6585">
        <w:rPr>
          <w:bCs/>
        </w:rPr>
        <w:t>Błonie</w:t>
      </w:r>
      <w:r>
        <w:rPr>
          <w:bCs/>
        </w:rPr>
        <w:t xml:space="preserve">, </w:t>
      </w:r>
      <w:r w:rsidRPr="002A6585">
        <w:rPr>
          <w:bCs/>
        </w:rPr>
        <w:t>Brwinów</w:t>
      </w:r>
      <w:r>
        <w:rPr>
          <w:bCs/>
        </w:rPr>
        <w:t xml:space="preserve">, </w:t>
      </w:r>
      <w:r w:rsidRPr="002A6585">
        <w:rPr>
          <w:bCs/>
        </w:rPr>
        <w:t>Celestynów</w:t>
      </w:r>
      <w:r>
        <w:rPr>
          <w:bCs/>
        </w:rPr>
        <w:t xml:space="preserve">, </w:t>
      </w:r>
      <w:r w:rsidRPr="002A6585">
        <w:rPr>
          <w:bCs/>
        </w:rPr>
        <w:t>Ciechanów</w:t>
      </w:r>
      <w:r>
        <w:rPr>
          <w:bCs/>
        </w:rPr>
        <w:t xml:space="preserve">, </w:t>
      </w:r>
      <w:r w:rsidRPr="002A6585">
        <w:rPr>
          <w:bCs/>
        </w:rPr>
        <w:t>Garwolin</w:t>
      </w:r>
      <w:r>
        <w:rPr>
          <w:bCs/>
        </w:rPr>
        <w:t xml:space="preserve">, </w:t>
      </w:r>
      <w:r w:rsidRPr="002A6585">
        <w:rPr>
          <w:bCs/>
        </w:rPr>
        <w:t>Gostynin</w:t>
      </w:r>
      <w:r>
        <w:rPr>
          <w:bCs/>
        </w:rPr>
        <w:t xml:space="preserve">, </w:t>
      </w:r>
      <w:r w:rsidRPr="002A6585">
        <w:rPr>
          <w:bCs/>
        </w:rPr>
        <w:t>Grodzisk Mazowiecki</w:t>
      </w:r>
      <w:r>
        <w:rPr>
          <w:bCs/>
        </w:rPr>
        <w:t xml:space="preserve">, </w:t>
      </w:r>
      <w:r w:rsidRPr="002A6585">
        <w:rPr>
          <w:bCs/>
        </w:rPr>
        <w:t>Grójec</w:t>
      </w:r>
      <w:r>
        <w:rPr>
          <w:bCs/>
        </w:rPr>
        <w:t xml:space="preserve">, </w:t>
      </w:r>
      <w:r w:rsidRPr="002A6585">
        <w:rPr>
          <w:bCs/>
        </w:rPr>
        <w:t>Izabelin</w:t>
      </w:r>
      <w:r>
        <w:rPr>
          <w:bCs/>
        </w:rPr>
        <w:t xml:space="preserve">, </w:t>
      </w:r>
      <w:r w:rsidRPr="002A6585">
        <w:rPr>
          <w:bCs/>
        </w:rPr>
        <w:t>Jabłonna</w:t>
      </w:r>
      <w:r>
        <w:rPr>
          <w:bCs/>
        </w:rPr>
        <w:t xml:space="preserve">, </w:t>
      </w:r>
      <w:r w:rsidRPr="002A6585">
        <w:rPr>
          <w:bCs/>
        </w:rPr>
        <w:t>Józefów</w:t>
      </w:r>
      <w:r>
        <w:rPr>
          <w:bCs/>
        </w:rPr>
        <w:t xml:space="preserve">, </w:t>
      </w:r>
      <w:r w:rsidRPr="002A6585">
        <w:rPr>
          <w:bCs/>
        </w:rPr>
        <w:t>Karczew</w:t>
      </w:r>
      <w:r>
        <w:rPr>
          <w:bCs/>
        </w:rPr>
        <w:t xml:space="preserve">, </w:t>
      </w:r>
      <w:r w:rsidRPr="002A6585">
        <w:rPr>
          <w:bCs/>
        </w:rPr>
        <w:t>Kobyłka</w:t>
      </w:r>
      <w:r>
        <w:rPr>
          <w:bCs/>
        </w:rPr>
        <w:t xml:space="preserve">, </w:t>
      </w:r>
      <w:r w:rsidRPr="002A6585">
        <w:rPr>
          <w:bCs/>
        </w:rPr>
        <w:t>Konstancin-Jeziorna</w:t>
      </w:r>
      <w:r>
        <w:rPr>
          <w:bCs/>
        </w:rPr>
        <w:t xml:space="preserve">, </w:t>
      </w:r>
      <w:r w:rsidRPr="002A6585">
        <w:rPr>
          <w:bCs/>
        </w:rPr>
        <w:t>Kozienice</w:t>
      </w:r>
      <w:r>
        <w:rPr>
          <w:bCs/>
        </w:rPr>
        <w:t xml:space="preserve">, </w:t>
      </w:r>
      <w:r w:rsidRPr="002A6585">
        <w:rPr>
          <w:bCs/>
        </w:rPr>
        <w:t>Legionowo</w:t>
      </w:r>
      <w:r>
        <w:rPr>
          <w:bCs/>
        </w:rPr>
        <w:t xml:space="preserve">, </w:t>
      </w:r>
      <w:r w:rsidRPr="002A6585">
        <w:rPr>
          <w:bCs/>
        </w:rPr>
        <w:t>Łomianki</w:t>
      </w:r>
      <w:r>
        <w:rPr>
          <w:bCs/>
        </w:rPr>
        <w:t xml:space="preserve">, </w:t>
      </w:r>
      <w:r w:rsidRPr="002A6585">
        <w:rPr>
          <w:bCs/>
        </w:rPr>
        <w:t>Maków Mazowiecki</w:t>
      </w:r>
      <w:r>
        <w:rPr>
          <w:bCs/>
        </w:rPr>
        <w:t xml:space="preserve">, </w:t>
      </w:r>
      <w:r w:rsidRPr="002A6585">
        <w:rPr>
          <w:bCs/>
        </w:rPr>
        <w:t>Marki</w:t>
      </w:r>
      <w:r>
        <w:rPr>
          <w:bCs/>
        </w:rPr>
        <w:t xml:space="preserve">, </w:t>
      </w:r>
      <w:r w:rsidRPr="002A6585">
        <w:rPr>
          <w:bCs/>
        </w:rPr>
        <w:t>Michałowice</w:t>
      </w:r>
      <w:r>
        <w:rPr>
          <w:bCs/>
        </w:rPr>
        <w:t xml:space="preserve">, </w:t>
      </w:r>
      <w:r w:rsidRPr="002A6585">
        <w:rPr>
          <w:bCs/>
        </w:rPr>
        <w:t>Milanówek</w:t>
      </w:r>
      <w:r>
        <w:rPr>
          <w:bCs/>
        </w:rPr>
        <w:t xml:space="preserve">, </w:t>
      </w:r>
      <w:r w:rsidRPr="002A6585">
        <w:rPr>
          <w:bCs/>
        </w:rPr>
        <w:t>Mińsk Mazowiecki</w:t>
      </w:r>
      <w:r>
        <w:rPr>
          <w:bCs/>
        </w:rPr>
        <w:t xml:space="preserve"> (gmina wiejska), </w:t>
      </w:r>
      <w:r w:rsidRPr="002A6585">
        <w:rPr>
          <w:bCs/>
        </w:rPr>
        <w:t>Mińsk Mazowiecki</w:t>
      </w:r>
      <w:r>
        <w:rPr>
          <w:bCs/>
        </w:rPr>
        <w:t xml:space="preserve"> (gmina miejska), </w:t>
      </w:r>
      <w:r w:rsidRPr="002A6585">
        <w:rPr>
          <w:bCs/>
        </w:rPr>
        <w:t>Mława</w:t>
      </w:r>
      <w:r>
        <w:rPr>
          <w:bCs/>
        </w:rPr>
        <w:t xml:space="preserve">, </w:t>
      </w:r>
      <w:r w:rsidRPr="002A6585">
        <w:rPr>
          <w:bCs/>
        </w:rPr>
        <w:t>Nadarzyn</w:t>
      </w:r>
      <w:r>
        <w:rPr>
          <w:bCs/>
        </w:rPr>
        <w:t xml:space="preserve">, </w:t>
      </w:r>
      <w:r w:rsidRPr="002A6585">
        <w:rPr>
          <w:bCs/>
        </w:rPr>
        <w:t>Nasielsk</w:t>
      </w:r>
      <w:r>
        <w:rPr>
          <w:bCs/>
        </w:rPr>
        <w:t xml:space="preserve">, </w:t>
      </w:r>
      <w:r w:rsidRPr="002A6585">
        <w:rPr>
          <w:bCs/>
        </w:rPr>
        <w:t>Nowy Dwór Mazowiecki</w:t>
      </w:r>
      <w:r>
        <w:rPr>
          <w:bCs/>
        </w:rPr>
        <w:t xml:space="preserve">, </w:t>
      </w:r>
      <w:r w:rsidRPr="002A6585">
        <w:rPr>
          <w:bCs/>
        </w:rPr>
        <w:t>Ostrołęka</w:t>
      </w:r>
      <w:r>
        <w:rPr>
          <w:bCs/>
        </w:rPr>
        <w:t xml:space="preserve">, </w:t>
      </w:r>
      <w:r w:rsidRPr="002A6585">
        <w:rPr>
          <w:bCs/>
        </w:rPr>
        <w:t>Ostrów Mazowiecka</w:t>
      </w:r>
      <w:r>
        <w:rPr>
          <w:bCs/>
        </w:rPr>
        <w:t xml:space="preserve">, </w:t>
      </w:r>
      <w:r w:rsidRPr="002A6585">
        <w:rPr>
          <w:bCs/>
        </w:rPr>
        <w:t>Otwock</w:t>
      </w:r>
      <w:r>
        <w:rPr>
          <w:bCs/>
        </w:rPr>
        <w:t xml:space="preserve">, </w:t>
      </w:r>
      <w:r w:rsidRPr="002A6585">
        <w:rPr>
          <w:bCs/>
        </w:rPr>
        <w:t>Ożarów Mazowiecki</w:t>
      </w:r>
      <w:r>
        <w:rPr>
          <w:bCs/>
        </w:rPr>
        <w:t xml:space="preserve">, </w:t>
      </w:r>
      <w:r w:rsidRPr="002A6585">
        <w:rPr>
          <w:bCs/>
        </w:rPr>
        <w:t>Piaseczno</w:t>
      </w:r>
      <w:r>
        <w:rPr>
          <w:bCs/>
        </w:rPr>
        <w:t xml:space="preserve">, </w:t>
      </w:r>
      <w:r w:rsidRPr="002A6585">
        <w:rPr>
          <w:bCs/>
        </w:rPr>
        <w:t>Piastów</w:t>
      </w:r>
      <w:r>
        <w:rPr>
          <w:bCs/>
        </w:rPr>
        <w:t xml:space="preserve">, </w:t>
      </w:r>
      <w:r w:rsidRPr="002A6585">
        <w:rPr>
          <w:bCs/>
        </w:rPr>
        <w:t>Pilawa</w:t>
      </w:r>
      <w:r>
        <w:rPr>
          <w:bCs/>
        </w:rPr>
        <w:t xml:space="preserve">, </w:t>
      </w:r>
      <w:r w:rsidRPr="002A6585">
        <w:rPr>
          <w:bCs/>
        </w:rPr>
        <w:t>Pionki</w:t>
      </w:r>
      <w:r>
        <w:rPr>
          <w:bCs/>
        </w:rPr>
        <w:t xml:space="preserve">, </w:t>
      </w:r>
      <w:r w:rsidRPr="002A6585">
        <w:rPr>
          <w:bCs/>
        </w:rPr>
        <w:t>Płońsk</w:t>
      </w:r>
      <w:r>
        <w:rPr>
          <w:bCs/>
        </w:rPr>
        <w:t xml:space="preserve">, </w:t>
      </w:r>
      <w:r w:rsidRPr="002A6585">
        <w:rPr>
          <w:bCs/>
        </w:rPr>
        <w:t>Podkowa Leśna</w:t>
      </w:r>
      <w:r>
        <w:rPr>
          <w:bCs/>
        </w:rPr>
        <w:t xml:space="preserve">, </w:t>
      </w:r>
      <w:r w:rsidRPr="002A6585">
        <w:rPr>
          <w:bCs/>
        </w:rPr>
        <w:t>Pomiechówek</w:t>
      </w:r>
      <w:r>
        <w:rPr>
          <w:bCs/>
        </w:rPr>
        <w:t xml:space="preserve">, </w:t>
      </w:r>
      <w:r w:rsidRPr="002A6585">
        <w:rPr>
          <w:bCs/>
        </w:rPr>
        <w:t>Pruszków</w:t>
      </w:r>
      <w:r>
        <w:rPr>
          <w:bCs/>
        </w:rPr>
        <w:t xml:space="preserve">, </w:t>
      </w:r>
      <w:r w:rsidRPr="002A6585">
        <w:rPr>
          <w:bCs/>
        </w:rPr>
        <w:t>Przasnysz</w:t>
      </w:r>
      <w:r>
        <w:rPr>
          <w:bCs/>
        </w:rPr>
        <w:t xml:space="preserve">, </w:t>
      </w:r>
      <w:r w:rsidRPr="002A6585">
        <w:rPr>
          <w:bCs/>
        </w:rPr>
        <w:t>Pułtusk</w:t>
      </w:r>
      <w:r>
        <w:rPr>
          <w:bCs/>
        </w:rPr>
        <w:t xml:space="preserve">, </w:t>
      </w:r>
      <w:r w:rsidRPr="002A6585">
        <w:rPr>
          <w:bCs/>
        </w:rPr>
        <w:t>Radzymin</w:t>
      </w:r>
      <w:r>
        <w:rPr>
          <w:bCs/>
        </w:rPr>
        <w:t xml:space="preserve">, </w:t>
      </w:r>
      <w:r w:rsidRPr="002A6585">
        <w:rPr>
          <w:bCs/>
        </w:rPr>
        <w:t>Raszyn</w:t>
      </w:r>
      <w:r>
        <w:rPr>
          <w:bCs/>
        </w:rPr>
        <w:t xml:space="preserve">, </w:t>
      </w:r>
      <w:r w:rsidRPr="002A6585">
        <w:rPr>
          <w:bCs/>
        </w:rPr>
        <w:t>Sierpc</w:t>
      </w:r>
      <w:r>
        <w:rPr>
          <w:bCs/>
        </w:rPr>
        <w:t xml:space="preserve">, </w:t>
      </w:r>
      <w:r w:rsidRPr="002A6585">
        <w:rPr>
          <w:bCs/>
        </w:rPr>
        <w:t>Sochaczew</w:t>
      </w:r>
      <w:r>
        <w:rPr>
          <w:bCs/>
        </w:rPr>
        <w:t xml:space="preserve">,  </w:t>
      </w:r>
      <w:r w:rsidRPr="002A6585">
        <w:rPr>
          <w:bCs/>
        </w:rPr>
        <w:t>Sokołów Podlaski</w:t>
      </w:r>
      <w:r>
        <w:rPr>
          <w:bCs/>
        </w:rPr>
        <w:t xml:space="preserve">, </w:t>
      </w:r>
      <w:r w:rsidRPr="002A6585">
        <w:rPr>
          <w:bCs/>
        </w:rPr>
        <w:t>Stare Babice</w:t>
      </w:r>
      <w:r>
        <w:rPr>
          <w:bCs/>
        </w:rPr>
        <w:t xml:space="preserve">, </w:t>
      </w:r>
      <w:r w:rsidRPr="002A6585">
        <w:rPr>
          <w:bCs/>
        </w:rPr>
        <w:t>Sulejówek</w:t>
      </w:r>
      <w:r>
        <w:rPr>
          <w:bCs/>
        </w:rPr>
        <w:t xml:space="preserve">, </w:t>
      </w:r>
      <w:r w:rsidRPr="002A6585">
        <w:rPr>
          <w:bCs/>
        </w:rPr>
        <w:t>Szydłowiec</w:t>
      </w:r>
      <w:r>
        <w:rPr>
          <w:bCs/>
        </w:rPr>
        <w:t xml:space="preserve">, </w:t>
      </w:r>
      <w:r w:rsidRPr="002A6585">
        <w:rPr>
          <w:bCs/>
        </w:rPr>
        <w:t>Teresin</w:t>
      </w:r>
      <w:r>
        <w:rPr>
          <w:bCs/>
        </w:rPr>
        <w:t xml:space="preserve">, </w:t>
      </w:r>
      <w:r w:rsidRPr="002A6585">
        <w:rPr>
          <w:bCs/>
        </w:rPr>
        <w:t>Tłuszcz</w:t>
      </w:r>
      <w:r>
        <w:rPr>
          <w:bCs/>
        </w:rPr>
        <w:t xml:space="preserve">, </w:t>
      </w:r>
      <w:r w:rsidRPr="002A6585">
        <w:rPr>
          <w:bCs/>
        </w:rPr>
        <w:t>Węgrów</w:t>
      </w:r>
      <w:r>
        <w:rPr>
          <w:bCs/>
        </w:rPr>
        <w:t xml:space="preserve">, </w:t>
      </w:r>
      <w:r w:rsidRPr="002A6585">
        <w:rPr>
          <w:bCs/>
        </w:rPr>
        <w:t>Wieliszew</w:t>
      </w:r>
      <w:r>
        <w:rPr>
          <w:bCs/>
        </w:rPr>
        <w:t xml:space="preserve">, </w:t>
      </w:r>
      <w:r w:rsidRPr="002A6585">
        <w:rPr>
          <w:bCs/>
        </w:rPr>
        <w:t>Wiskitki</w:t>
      </w:r>
      <w:r>
        <w:rPr>
          <w:bCs/>
        </w:rPr>
        <w:t xml:space="preserve">, </w:t>
      </w:r>
      <w:r w:rsidRPr="002A6585">
        <w:rPr>
          <w:bCs/>
        </w:rPr>
        <w:t>Wołomin</w:t>
      </w:r>
      <w:r>
        <w:rPr>
          <w:bCs/>
        </w:rPr>
        <w:t xml:space="preserve">, </w:t>
      </w:r>
      <w:r w:rsidRPr="002A6585">
        <w:rPr>
          <w:bCs/>
        </w:rPr>
        <w:t>Wyszków</w:t>
      </w:r>
      <w:r>
        <w:rPr>
          <w:bCs/>
        </w:rPr>
        <w:t xml:space="preserve">, </w:t>
      </w:r>
      <w:r w:rsidRPr="002A6585">
        <w:rPr>
          <w:bCs/>
        </w:rPr>
        <w:t>Ząbki</w:t>
      </w:r>
      <w:r>
        <w:rPr>
          <w:bCs/>
        </w:rPr>
        <w:t xml:space="preserve">, </w:t>
      </w:r>
      <w:r w:rsidRPr="002A6585">
        <w:rPr>
          <w:bCs/>
        </w:rPr>
        <w:t>Zielonka</w:t>
      </w:r>
      <w:r>
        <w:rPr>
          <w:bCs/>
        </w:rPr>
        <w:t xml:space="preserve">, </w:t>
      </w:r>
      <w:r w:rsidRPr="002A6585">
        <w:rPr>
          <w:bCs/>
        </w:rPr>
        <w:t>Żyrardów</w:t>
      </w:r>
      <w:r>
        <w:rPr>
          <w:bCs/>
        </w:rPr>
        <w:t xml:space="preserve">. Pozostałe gminy województwa mazowieckiego stanowią obszary wiejskie. </w:t>
      </w:r>
    </w:p>
    <w:p w:rsidR="008C13EF" w:rsidRDefault="008C13EF" w:rsidP="008C13EF">
      <w:pPr>
        <w:spacing w:before="60" w:after="240"/>
        <w:ind w:left="284" w:firstLine="142"/>
        <w:jc w:val="both"/>
        <w:rPr>
          <w:bCs/>
        </w:rPr>
      </w:pPr>
      <w:r>
        <w:rPr>
          <w:bCs/>
        </w:rPr>
        <w:t>Poniżej przedstawiono mapę województwa mazowieckiego wg klasyfikacji DEGURBA.</w:t>
      </w:r>
    </w:p>
    <w:p w:rsidR="008C13EF" w:rsidRDefault="008C13EF" w:rsidP="008C13EF">
      <w:pPr>
        <w:spacing w:before="60" w:after="240"/>
        <w:ind w:left="284" w:firstLine="424"/>
        <w:jc w:val="both"/>
        <w:rPr>
          <w:rFonts w:cs="Arial"/>
          <w:b/>
          <w:sz w:val="20"/>
          <w:szCs w:val="20"/>
        </w:rPr>
      </w:pPr>
      <w:r w:rsidRPr="00957827">
        <w:rPr>
          <w:rFonts w:cs="Arial"/>
          <w:b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1B77B26B" wp14:editId="5A04740F">
            <wp:simplePos x="0" y="0"/>
            <wp:positionH relativeFrom="margin">
              <wp:posOffset>-114300</wp:posOffset>
            </wp:positionH>
            <wp:positionV relativeFrom="paragraph">
              <wp:posOffset>6272530</wp:posOffset>
            </wp:positionV>
            <wp:extent cx="467995" cy="1019175"/>
            <wp:effectExtent l="0" t="0" r="8255" b="9525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827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3E56" wp14:editId="30954FBF">
                <wp:simplePos x="0" y="0"/>
                <wp:positionH relativeFrom="column">
                  <wp:posOffset>428625</wp:posOffset>
                </wp:positionH>
                <wp:positionV relativeFrom="paragraph">
                  <wp:posOffset>6258560</wp:posOffset>
                </wp:positionV>
                <wp:extent cx="3865761" cy="1095685"/>
                <wp:effectExtent l="0" t="0" r="0" b="0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761" cy="109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13EF" w:rsidRDefault="008C13EF" w:rsidP="008C13EF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both"/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tereny gęsto zaludnione (miasta, centra miejskie, obszary miejskie)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– przynajmniej 50% ludności zamieszkuje obszary gęsto zaludnione (4)</w:t>
                            </w:r>
                          </w:p>
                          <w:p w:rsidR="008C13EF" w:rsidRDefault="008C13EF" w:rsidP="008C13EF">
                            <w:pPr>
                              <w:pStyle w:val="NormalnyWeb"/>
                              <w:spacing w:before="120" w:beforeAutospacing="0" w:after="0" w:afterAutospacing="0" w:line="276" w:lineRule="auto"/>
                              <w:jc w:val="both"/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pośrednie (miasta, przedmieścia)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– poniżej 50% ludności zamieszkuje obszary wiejskie i poniżej 50% ludności obszary o dużej gęstości zaludnienia (59)</w:t>
                            </w:r>
                          </w:p>
                          <w:p w:rsidR="008C13EF" w:rsidRDefault="008C13EF" w:rsidP="008C13EF">
                            <w:pPr>
                              <w:pStyle w:val="NormalnyWeb"/>
                              <w:spacing w:before="120" w:beforeAutospacing="0" w:after="0" w:afterAutospacing="0" w:line="276" w:lineRule="auto"/>
                              <w:jc w:val="both"/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obszary słabo zaludnione (wiejskie)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– 50% ludności zamieszkuje obszary wiejskie (251)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53E56" id="Prostokąt 5" o:spid="_x0000_s1026" style="position:absolute;left:0;text-align:left;margin-left:33.75pt;margin-top:492.8pt;width:304.4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" filled="f" stroked="f">
                <v:textbox style="mso-fit-shape-to-text:t">
                  <w:txbxContent>
                    <w:p w:rsidR="008C13EF" w:rsidRDefault="008C13EF" w:rsidP="008C13EF">
                      <w:pPr>
                        <w:pStyle w:val="NormalnyWeb"/>
                        <w:spacing w:before="0" w:beforeAutospacing="0" w:after="0" w:afterAutospacing="0" w:line="276" w:lineRule="auto"/>
                        <w:jc w:val="both"/>
                      </w:pPr>
                      <w:proofErr w:type="gramStart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tereny</w:t>
                      </w:r>
                      <w:proofErr w:type="gramEnd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gęsto zaludnione (miasta, centra miejskie, obszary miejskie)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– przynajmniej 50% ludności zamieszkuje obszary gęsto zaludnione (4)</w:t>
                      </w:r>
                    </w:p>
                    <w:p w:rsidR="008C13EF" w:rsidRDefault="008C13EF" w:rsidP="008C13EF">
                      <w:pPr>
                        <w:pStyle w:val="NormalnyWeb"/>
                        <w:spacing w:before="120" w:beforeAutospacing="0" w:after="0" w:afterAutospacing="0" w:line="276" w:lineRule="auto"/>
                        <w:jc w:val="both"/>
                      </w:pPr>
                      <w:proofErr w:type="gramStart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pośrednie</w:t>
                      </w:r>
                      <w:proofErr w:type="gramEnd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(miasta, przedmieścia)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– poniżej 50% ludności zamieszkuje obszary wiejskie i poniżej 50% ludności obszary o dużej gęstości zaludnienia (59)</w:t>
                      </w:r>
                    </w:p>
                    <w:p w:rsidR="008C13EF" w:rsidRDefault="008C13EF" w:rsidP="008C13EF">
                      <w:pPr>
                        <w:pStyle w:val="NormalnyWeb"/>
                        <w:spacing w:before="120" w:beforeAutospacing="0" w:after="0" w:afterAutospacing="0" w:line="276" w:lineRule="auto"/>
                        <w:jc w:val="both"/>
                      </w:pPr>
                      <w:proofErr w:type="gramStart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obszary</w:t>
                      </w:r>
                      <w:proofErr w:type="gramEnd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słabo zaludnione (wiejskie)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– 50% ludności zamieszkuje obszary wiejskie (251)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B211871" wp14:editId="6FB3A0E2">
            <wp:extent cx="6200566" cy="6268915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082" cy="627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EF" w:rsidRDefault="008C13EF" w:rsidP="008C13EF">
      <w:pPr>
        <w:spacing w:before="60" w:after="240"/>
        <w:jc w:val="both"/>
        <w:rPr>
          <w:rFonts w:cs="Arial"/>
          <w:b/>
          <w:sz w:val="20"/>
          <w:szCs w:val="20"/>
        </w:rPr>
      </w:pPr>
    </w:p>
    <w:p w:rsidR="008C13EF" w:rsidRDefault="008C13EF" w:rsidP="008C13EF">
      <w:pPr>
        <w:spacing w:before="60" w:after="240"/>
        <w:jc w:val="both"/>
        <w:rPr>
          <w:rFonts w:cs="Arial"/>
          <w:b/>
          <w:sz w:val="20"/>
          <w:szCs w:val="20"/>
        </w:rPr>
      </w:pPr>
    </w:p>
    <w:p w:rsidR="008C13EF" w:rsidRDefault="008C13EF" w:rsidP="008C13EF">
      <w:pPr>
        <w:spacing w:before="60" w:after="240"/>
        <w:jc w:val="both"/>
        <w:rPr>
          <w:rFonts w:cs="Arial"/>
          <w:b/>
          <w:sz w:val="20"/>
          <w:szCs w:val="20"/>
        </w:rPr>
      </w:pPr>
      <w:r w:rsidRPr="00957827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FE56D" wp14:editId="1D817305">
                <wp:simplePos x="0" y="0"/>
                <wp:positionH relativeFrom="column">
                  <wp:posOffset>419100</wp:posOffset>
                </wp:positionH>
                <wp:positionV relativeFrom="paragraph">
                  <wp:posOffset>244475</wp:posOffset>
                </wp:positionV>
                <wp:extent cx="2618024" cy="215444"/>
                <wp:effectExtent l="0" t="0" r="0" b="0"/>
                <wp:wrapNone/>
                <wp:docPr id="7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024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13EF" w:rsidRDefault="008C13EF" w:rsidP="008C13EF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(w nawiasie podano liczbę jednostek przestrzennych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FE56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33pt;margin-top:19.25pt;width:206.15pt;height:16.9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" filled="f" stroked="f">
                <v:textbox style="mso-fit-shape-to-text:t">
                  <w:txbxContent>
                    <w:p w:rsidR="008C13EF" w:rsidRDefault="008C13EF" w:rsidP="008C13EF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(w nawiasie podano liczbę jednostek przestrzennych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C13EF" w:rsidRDefault="008C13EF" w:rsidP="008C13EF">
      <w:pPr>
        <w:spacing w:before="60" w:after="240"/>
        <w:jc w:val="both"/>
        <w:rPr>
          <w:rFonts w:cs="Arial"/>
          <w:b/>
          <w:sz w:val="20"/>
          <w:szCs w:val="20"/>
        </w:rPr>
      </w:pPr>
    </w:p>
    <w:p w:rsidR="008C13EF" w:rsidRDefault="008C13EF" w:rsidP="008C13EF">
      <w:pPr>
        <w:spacing w:before="60" w:after="240"/>
        <w:jc w:val="both"/>
        <w:rPr>
          <w:rFonts w:cs="Arial"/>
          <w:b/>
          <w:sz w:val="20"/>
          <w:szCs w:val="20"/>
        </w:rPr>
      </w:pPr>
    </w:p>
    <w:p w:rsidR="008C13EF" w:rsidRDefault="008C13EF" w:rsidP="008C13EF">
      <w:pPr>
        <w:spacing w:after="120"/>
        <w:jc w:val="center"/>
        <w:rPr>
          <w:rFonts w:cs="Arial"/>
          <w:i/>
          <w:sz w:val="20"/>
          <w:szCs w:val="20"/>
        </w:rPr>
      </w:pPr>
      <w:r w:rsidRPr="001D5651">
        <w:rPr>
          <w:rFonts w:cs="Arial"/>
          <w:b/>
          <w:sz w:val="20"/>
          <w:szCs w:val="20"/>
        </w:rPr>
        <w:t xml:space="preserve">Mapa nr 1. </w:t>
      </w:r>
      <w:r w:rsidRPr="007D606F">
        <w:rPr>
          <w:rFonts w:cs="Arial"/>
          <w:i/>
          <w:sz w:val="20"/>
          <w:szCs w:val="20"/>
        </w:rPr>
        <w:t xml:space="preserve">Klasyfikacja jednostek przestrzennych województwa </w:t>
      </w:r>
      <w:r>
        <w:rPr>
          <w:rFonts w:cs="Arial"/>
          <w:i/>
          <w:sz w:val="20"/>
          <w:szCs w:val="20"/>
        </w:rPr>
        <w:t>mazowieck</w:t>
      </w:r>
      <w:r w:rsidRPr="007D606F">
        <w:rPr>
          <w:rFonts w:cs="Arial"/>
          <w:i/>
          <w:sz w:val="20"/>
          <w:szCs w:val="20"/>
        </w:rPr>
        <w:t>iego wg definicji DEGURBA</w:t>
      </w:r>
    </w:p>
    <w:p w:rsidR="008C13EF" w:rsidRPr="002B1B3E" w:rsidRDefault="008C13EF" w:rsidP="008C13EF">
      <w:pPr>
        <w:spacing w:before="200"/>
        <w:jc w:val="center"/>
        <w:rPr>
          <w:rFonts w:ascii="Calibri" w:eastAsia="Calibri" w:hAnsi="Calibri" w:cs="Times New Roman"/>
          <w:i/>
          <w:color w:val="C00000"/>
          <w:sz w:val="26"/>
          <w:szCs w:val="26"/>
        </w:rPr>
      </w:pPr>
      <w:r w:rsidRPr="00382233">
        <w:rPr>
          <w:i/>
          <w:sz w:val="18"/>
        </w:rPr>
        <w:t xml:space="preserve">Źródło: </w:t>
      </w:r>
      <w:r w:rsidRPr="00382233">
        <w:rPr>
          <w:i/>
          <w:sz w:val="18"/>
          <w:szCs w:val="18"/>
        </w:rPr>
        <w:t xml:space="preserve">Opracowanie własne </w:t>
      </w:r>
      <w:proofErr w:type="spellStart"/>
      <w:r>
        <w:rPr>
          <w:i/>
          <w:sz w:val="18"/>
          <w:szCs w:val="18"/>
        </w:rPr>
        <w:t>DGiK</w:t>
      </w:r>
      <w:proofErr w:type="spellEnd"/>
      <w:r>
        <w:rPr>
          <w:i/>
          <w:sz w:val="18"/>
          <w:szCs w:val="18"/>
        </w:rPr>
        <w:t xml:space="preserve"> UMWM</w:t>
      </w:r>
      <w:r w:rsidRPr="00382233">
        <w:rPr>
          <w:i/>
          <w:sz w:val="18"/>
          <w:szCs w:val="18"/>
        </w:rPr>
        <w:t xml:space="preserve"> wg danych Eurostatu</w:t>
      </w:r>
      <w:r w:rsidRPr="00382233">
        <w:rPr>
          <w:rFonts w:cs="Arial"/>
          <w:bCs/>
          <w:i/>
          <w:color w:val="000000"/>
          <w:sz w:val="18"/>
          <w:szCs w:val="18"/>
        </w:rPr>
        <w:t>.</w:t>
      </w:r>
    </w:p>
    <w:sectPr w:rsidR="008C13EF" w:rsidRPr="002B1B3E" w:rsidSect="000D2DE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BE" w:rsidRDefault="004F5EBE" w:rsidP="008C13EF">
      <w:pPr>
        <w:spacing w:after="0" w:line="240" w:lineRule="auto"/>
      </w:pPr>
      <w:r>
        <w:separator/>
      </w:r>
    </w:p>
  </w:endnote>
  <w:endnote w:type="continuationSeparator" w:id="0">
    <w:p w:rsidR="004F5EBE" w:rsidRDefault="004F5EBE" w:rsidP="008C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BE" w:rsidRDefault="004F5EBE" w:rsidP="008C13EF">
      <w:pPr>
        <w:spacing w:after="0" w:line="240" w:lineRule="auto"/>
      </w:pPr>
      <w:r>
        <w:separator/>
      </w:r>
    </w:p>
  </w:footnote>
  <w:footnote w:type="continuationSeparator" w:id="0">
    <w:p w:rsidR="004F5EBE" w:rsidRDefault="004F5EBE" w:rsidP="008C13EF">
      <w:pPr>
        <w:spacing w:after="0" w:line="240" w:lineRule="auto"/>
      </w:pPr>
      <w:r>
        <w:continuationSeparator/>
      </w:r>
    </w:p>
  </w:footnote>
  <w:footnote w:id="1">
    <w:p w:rsidR="008C13EF" w:rsidRPr="009D2A31" w:rsidRDefault="008C13EF" w:rsidP="008C13EF">
      <w:pPr>
        <w:pStyle w:val="Tekstprzypisudolnego"/>
        <w:jc w:val="both"/>
        <w:rPr>
          <w:sz w:val="18"/>
        </w:rPr>
      </w:pPr>
      <w:r w:rsidRPr="00C544ED">
        <w:rPr>
          <w:rStyle w:val="Odwoanieprzypisudolnego"/>
          <w:sz w:val="18"/>
        </w:rPr>
        <w:footnoteRef/>
      </w:r>
      <w:r w:rsidRPr="009D2A31">
        <w:rPr>
          <w:sz w:val="18"/>
        </w:rPr>
        <w:t xml:space="preserve"> </w:t>
      </w:r>
      <w:hyperlink r:id="rId1" w:history="1">
        <w:r w:rsidRPr="009D2A31">
          <w:rPr>
            <w:rStyle w:val="Hipercze"/>
            <w:sz w:val="18"/>
          </w:rPr>
          <w:t>http://ec.europa.eu/eurostat/ramon/miscellaneous/index.cfm?TargetUrl=DSP_DEGURBA</w:t>
        </w:r>
      </w:hyperlink>
      <w:r w:rsidRPr="009D2A31">
        <w:rPr>
          <w:sz w:val="18"/>
        </w:rPr>
        <w:t>, rok odniesienia 2012</w:t>
      </w:r>
    </w:p>
  </w:footnote>
  <w:footnote w:id="2">
    <w:p w:rsidR="008C13EF" w:rsidRPr="00674685" w:rsidRDefault="008C13EF" w:rsidP="008C13EF">
      <w:pPr>
        <w:pStyle w:val="Tekstprzypisudolnego"/>
        <w:jc w:val="both"/>
      </w:pPr>
      <w:r w:rsidRPr="00C544ED">
        <w:rPr>
          <w:rStyle w:val="Odwoanieprzypisudolnego"/>
          <w:sz w:val="18"/>
        </w:rPr>
        <w:footnoteRef/>
      </w:r>
      <w:r w:rsidRPr="00C544ED">
        <w:rPr>
          <w:sz w:val="18"/>
        </w:rPr>
        <w:t xml:space="preserve"> Obszary wiejskie - </w:t>
      </w:r>
      <w:r w:rsidRPr="00C544ED">
        <w:rPr>
          <w:rFonts w:eastAsia="Calibri"/>
          <w:sz w:val="18"/>
        </w:rPr>
        <w:t>300 osób/km</w:t>
      </w:r>
      <w:r w:rsidRPr="00C544ED">
        <w:rPr>
          <w:rFonts w:eastAsia="Calibri"/>
          <w:sz w:val="18"/>
          <w:vertAlign w:val="superscript"/>
        </w:rPr>
        <w:t>2</w:t>
      </w:r>
      <w:r w:rsidRPr="00C544ED">
        <w:rPr>
          <w:rFonts w:eastAsia="Calibri"/>
          <w:sz w:val="18"/>
        </w:rPr>
        <w:t xml:space="preserve"> na obszarze, którym minimalna liczba ludności wynosi 5 000 mieszkańców.</w:t>
      </w:r>
    </w:p>
  </w:footnote>
  <w:footnote w:id="3">
    <w:p w:rsidR="008C13EF" w:rsidRPr="00674685" w:rsidRDefault="008C13EF" w:rsidP="008C13EF">
      <w:pPr>
        <w:pStyle w:val="Tekstprzypisudolnego"/>
        <w:jc w:val="both"/>
      </w:pPr>
      <w:r w:rsidRPr="00C544ED">
        <w:rPr>
          <w:rStyle w:val="Odwoanieprzypisudolnego"/>
          <w:sz w:val="18"/>
        </w:rPr>
        <w:footnoteRef/>
      </w:r>
      <w:r w:rsidRPr="00C544ED">
        <w:rPr>
          <w:sz w:val="18"/>
        </w:rPr>
        <w:t xml:space="preserve"> Obszary o dużej gęstości zaludnienia - </w:t>
      </w:r>
      <w:r w:rsidRPr="00C544ED">
        <w:rPr>
          <w:rFonts w:eastAsia="Calibri"/>
          <w:sz w:val="18"/>
        </w:rPr>
        <w:t>1500 osób/km</w:t>
      </w:r>
      <w:r w:rsidRPr="00C544ED">
        <w:rPr>
          <w:rFonts w:eastAsia="Calibri"/>
          <w:sz w:val="18"/>
          <w:vertAlign w:val="superscript"/>
        </w:rPr>
        <w:t>2</w:t>
      </w:r>
      <w:r w:rsidRPr="00C544ED">
        <w:rPr>
          <w:rFonts w:eastAsia="Calibri"/>
          <w:sz w:val="18"/>
        </w:rPr>
        <w:t xml:space="preserve"> na obszarze, którym minimalna liczba ludności wynosi 50 000 mieszkańców.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86C"/>
    <w:multiLevelType w:val="hybridMultilevel"/>
    <w:tmpl w:val="6AB4D4BC"/>
    <w:lvl w:ilvl="0" w:tplc="D340C162">
      <w:start w:val="1"/>
      <w:numFmt w:val="decimal"/>
      <w:lvlText w:val="%1."/>
      <w:lvlJc w:val="left"/>
      <w:pPr>
        <w:ind w:left="405" w:hanging="360"/>
      </w:pPr>
      <w:rPr>
        <w:rFonts w:eastAsia="Arial Unicode MS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6694802"/>
    <w:multiLevelType w:val="hybridMultilevel"/>
    <w:tmpl w:val="4282E8AC"/>
    <w:lvl w:ilvl="0" w:tplc="E62E13CA">
      <w:start w:val="1"/>
      <w:numFmt w:val="bullet"/>
      <w:lvlText w:val="⇒"/>
      <w:lvlJc w:val="left"/>
      <w:pPr>
        <w:ind w:left="1080" w:hanging="360"/>
      </w:pPr>
      <w:rPr>
        <w:rFonts w:ascii="Cambria" w:hAnsi="Cambria" w:hint="default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B"/>
    <w:rsid w:val="000D2DE5"/>
    <w:rsid w:val="00153E2B"/>
    <w:rsid w:val="004F5EBE"/>
    <w:rsid w:val="00697EDA"/>
    <w:rsid w:val="008C13EF"/>
    <w:rsid w:val="008F75FB"/>
    <w:rsid w:val="00975059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2DFE"/>
  <w15:chartTrackingRefBased/>
  <w15:docId w15:val="{C2FE99C6-D124-4D9E-970F-8C141575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FE1E11"/>
    <w:rPr>
      <w:rFonts w:ascii="Arial Unicode MS" w:eastAsia="Arial Unicode MS" w:hAnsi="Arial Unicode MS" w:cs="Arial Unicode MS" w:hint="eastAsia"/>
      <w:color w:val="000000"/>
    </w:rPr>
  </w:style>
  <w:style w:type="paragraph" w:styleId="Akapitzlist">
    <w:name w:val="List Paragraph"/>
    <w:aliases w:val="Numerowanie,List Paragraph,Akapit z listą BS,Akapit z listą3,Akapit z listą31,Akapit z listą2"/>
    <w:basedOn w:val="Normalny"/>
    <w:link w:val="AkapitzlistZnak"/>
    <w:uiPriority w:val="34"/>
    <w:qFormat/>
    <w:rsid w:val="00FE1E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,Akapit z listą3 Znak,Akapit z listą31 Znak,Akapit z listą2 Znak"/>
    <w:link w:val="Akapitzlist"/>
    <w:uiPriority w:val="34"/>
    <w:locked/>
    <w:rsid w:val="00FE1E11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 Znak"/>
    <w:basedOn w:val="Normalny"/>
    <w:link w:val="TekstprzypisudolnegoZnak"/>
    <w:unhideWhenUsed/>
    <w:qFormat/>
    <w:rsid w:val="008C1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 Znak"/>
    <w:basedOn w:val="Domylnaczcionkaakapitu"/>
    <w:link w:val="Tekstprzypisudolnego"/>
    <w:rsid w:val="008C13E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8C13E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C13E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1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urostat/ramon/miscellaneous/index.cfm?TargetUrl=DSP_DEGUR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AJarmuszynska</cp:lastModifiedBy>
  <cp:revision>2</cp:revision>
  <dcterms:created xsi:type="dcterms:W3CDTF">2016-08-11T09:49:00Z</dcterms:created>
  <dcterms:modified xsi:type="dcterms:W3CDTF">2016-08-11T09:49:00Z</dcterms:modified>
</cp:coreProperties>
</file>