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C2C" w:rsidRPr="00DB133F" w:rsidRDefault="00A14F5A" w:rsidP="0022372D">
      <w:pPr>
        <w:spacing w:after="0" w:line="360" w:lineRule="auto"/>
        <w:jc w:val="both"/>
        <w:rPr>
          <w:rFonts w:ascii="Arial" w:hAnsi="Arial" w:cs="Arial"/>
          <w:b/>
          <w:sz w:val="18"/>
          <w:szCs w:val="18"/>
        </w:rPr>
      </w:pPr>
      <w:bookmarkStart w:id="0" w:name="_GoBack"/>
      <w:bookmarkEnd w:id="0"/>
      <w:r w:rsidRPr="00DB133F">
        <w:rPr>
          <w:rFonts w:ascii="Arial" w:hAnsi="Arial" w:cs="Arial"/>
          <w:b/>
          <w:sz w:val="18"/>
          <w:szCs w:val="18"/>
        </w:rPr>
        <w:t>Załącznik</w:t>
      </w:r>
      <w:r w:rsidR="008638C2" w:rsidRPr="00DB133F">
        <w:rPr>
          <w:rFonts w:ascii="Arial" w:hAnsi="Arial" w:cs="Arial"/>
          <w:b/>
          <w:sz w:val="18"/>
          <w:szCs w:val="18"/>
        </w:rPr>
        <w:t xml:space="preserve"> </w:t>
      </w:r>
      <w:r w:rsidR="006216C7">
        <w:rPr>
          <w:rFonts w:ascii="Arial" w:hAnsi="Arial" w:cs="Arial"/>
          <w:b/>
          <w:sz w:val="18"/>
          <w:szCs w:val="18"/>
        </w:rPr>
        <w:t>II</w:t>
      </w:r>
      <w:r w:rsidRPr="00DB133F">
        <w:rPr>
          <w:rFonts w:ascii="Arial" w:hAnsi="Arial" w:cs="Arial"/>
          <w:b/>
          <w:sz w:val="18"/>
          <w:szCs w:val="18"/>
        </w:rPr>
        <w:t xml:space="preserve"> </w:t>
      </w:r>
      <w:r w:rsidR="00A86C2C" w:rsidRPr="00DB133F">
        <w:rPr>
          <w:rFonts w:ascii="Arial" w:hAnsi="Arial" w:cs="Arial"/>
          <w:b/>
          <w:sz w:val="18"/>
          <w:szCs w:val="18"/>
        </w:rPr>
        <w:t>STRESZCZENIE PODAWANE DO WIADOMOŚCI PUBLICZNEJ (art.50 ust. 9</w:t>
      </w:r>
      <w:r w:rsidRPr="00DB133F">
        <w:rPr>
          <w:rFonts w:ascii="Arial" w:hAnsi="Arial" w:cs="Arial"/>
          <w:b/>
          <w:sz w:val="18"/>
          <w:szCs w:val="18"/>
        </w:rPr>
        <w:t xml:space="preserve"> </w:t>
      </w:r>
      <w:r w:rsidR="00A86C2C" w:rsidRPr="00DB133F">
        <w:rPr>
          <w:rFonts w:ascii="Arial" w:hAnsi="Arial" w:cs="Arial"/>
          <w:b/>
          <w:sz w:val="18"/>
          <w:szCs w:val="18"/>
        </w:rPr>
        <w:t>rozporządzenia (UE) nr 1303/2013</w:t>
      </w:r>
      <w:r w:rsidR="00E93C25">
        <w:rPr>
          <w:rFonts w:ascii="Arial" w:hAnsi="Arial" w:cs="Arial"/>
          <w:b/>
          <w:sz w:val="18"/>
          <w:szCs w:val="18"/>
        </w:rPr>
        <w:t>)</w:t>
      </w:r>
    </w:p>
    <w:p w:rsidR="00DA279C" w:rsidRPr="0022372D" w:rsidRDefault="00DA279C" w:rsidP="00DB133F">
      <w:pPr>
        <w:spacing w:after="0" w:line="360" w:lineRule="auto"/>
        <w:jc w:val="both"/>
        <w:rPr>
          <w:rFonts w:ascii="Arial" w:hAnsi="Arial" w:cs="Arial"/>
          <w:sz w:val="18"/>
          <w:szCs w:val="18"/>
        </w:rPr>
      </w:pPr>
    </w:p>
    <w:p w:rsidR="00256164" w:rsidRPr="00FD2E15" w:rsidRDefault="00DA70B8" w:rsidP="00DA70B8">
      <w:pPr>
        <w:tabs>
          <w:tab w:val="num" w:pos="567"/>
        </w:tabs>
        <w:spacing w:before="120" w:after="0" w:line="360" w:lineRule="auto"/>
        <w:jc w:val="both"/>
        <w:rPr>
          <w:rFonts w:ascii="Arial" w:hAnsi="Arial" w:cs="Arial"/>
          <w:sz w:val="18"/>
          <w:szCs w:val="18"/>
        </w:rPr>
      </w:pPr>
      <w:r w:rsidRPr="00FD2E15">
        <w:rPr>
          <w:rStyle w:val="StylNagwekArial10ptPogrubienieNiebieskoszaryZnak"/>
          <w:rFonts w:eastAsia="Calibri"/>
          <w:b w:val="0"/>
          <w:color w:val="auto"/>
          <w:sz w:val="18"/>
          <w:szCs w:val="18"/>
        </w:rPr>
        <w:tab/>
      </w:r>
      <w:r w:rsidR="00256164" w:rsidRPr="00FD2E15">
        <w:rPr>
          <w:rStyle w:val="StylNagwekArial10ptPogrubienieNiebieskoszaryZnak"/>
          <w:rFonts w:eastAsia="Calibri"/>
          <w:b w:val="0"/>
          <w:color w:val="auto"/>
          <w:sz w:val="18"/>
          <w:szCs w:val="18"/>
        </w:rPr>
        <w:t xml:space="preserve">Sprawozdanie roczne z wdrażania Regionalnego Programu Operacyjnego Województwa Mazowieckiego na lata 2014-2020 </w:t>
      </w:r>
      <w:r w:rsidR="006216C7" w:rsidRPr="00FD2E15">
        <w:rPr>
          <w:rStyle w:val="StylNagwekArial10ptPogrubienieNiebieskoszaryZnak"/>
          <w:rFonts w:eastAsia="Calibri"/>
          <w:b w:val="0"/>
          <w:color w:val="auto"/>
          <w:sz w:val="18"/>
          <w:szCs w:val="18"/>
        </w:rPr>
        <w:t xml:space="preserve">(RPO WM 2014-2020) </w:t>
      </w:r>
      <w:r w:rsidR="00256164" w:rsidRPr="00FD2E15">
        <w:rPr>
          <w:rStyle w:val="StylNagwekArial10ptPogrubienieNiebieskoszaryZnak"/>
          <w:rFonts w:eastAsia="Calibri"/>
          <w:b w:val="0"/>
          <w:color w:val="auto"/>
          <w:sz w:val="18"/>
          <w:szCs w:val="18"/>
        </w:rPr>
        <w:t xml:space="preserve">za </w:t>
      </w:r>
      <w:r w:rsidR="00FD2E15" w:rsidRPr="00FD2E15">
        <w:rPr>
          <w:rStyle w:val="StylNagwekArial10ptPogrubienieNiebieskoszaryZnak"/>
          <w:rFonts w:eastAsia="Calibri"/>
          <w:b w:val="0"/>
          <w:color w:val="auto"/>
          <w:sz w:val="18"/>
          <w:szCs w:val="18"/>
        </w:rPr>
        <w:t>2016 rok</w:t>
      </w:r>
      <w:r w:rsidR="00256164" w:rsidRPr="00FD2E15">
        <w:rPr>
          <w:rStyle w:val="StylNagwekArial10ptPogrubienieNiebieskoszaryZnak"/>
          <w:rFonts w:eastAsia="Calibri"/>
          <w:b w:val="0"/>
          <w:color w:val="auto"/>
          <w:sz w:val="18"/>
          <w:szCs w:val="18"/>
        </w:rPr>
        <w:t xml:space="preserve"> </w:t>
      </w:r>
      <w:r w:rsidR="00A86C2C" w:rsidRPr="00FD2E15">
        <w:rPr>
          <w:rFonts w:ascii="Arial" w:hAnsi="Arial" w:cs="Arial"/>
          <w:sz w:val="18"/>
          <w:szCs w:val="18"/>
        </w:rPr>
        <w:t>z</w:t>
      </w:r>
      <w:r w:rsidR="002C1CDC" w:rsidRPr="00FD2E15">
        <w:rPr>
          <w:rFonts w:ascii="Arial" w:hAnsi="Arial" w:cs="Arial"/>
          <w:sz w:val="18"/>
          <w:szCs w:val="18"/>
        </w:rPr>
        <w:t>a</w:t>
      </w:r>
      <w:r w:rsidR="00A86C2C" w:rsidRPr="00FD2E15">
        <w:rPr>
          <w:rFonts w:ascii="Arial" w:hAnsi="Arial" w:cs="Arial"/>
          <w:sz w:val="18"/>
          <w:szCs w:val="18"/>
        </w:rPr>
        <w:t xml:space="preserve">wiera wszystkie informacje zgodne </w:t>
      </w:r>
      <w:r w:rsidR="007B4DF3" w:rsidRPr="00FD2E15">
        <w:rPr>
          <w:rFonts w:ascii="Arial" w:hAnsi="Arial" w:cs="Arial"/>
          <w:sz w:val="18"/>
          <w:szCs w:val="18"/>
        </w:rPr>
        <w:br/>
      </w:r>
      <w:r w:rsidR="00A86C2C" w:rsidRPr="00FD2E15">
        <w:rPr>
          <w:rFonts w:ascii="Arial" w:hAnsi="Arial" w:cs="Arial"/>
          <w:sz w:val="18"/>
          <w:szCs w:val="18"/>
        </w:rPr>
        <w:t xml:space="preserve">z rozporządzeniem </w:t>
      </w:r>
      <w:r w:rsidR="00256164" w:rsidRPr="00FD2E15">
        <w:rPr>
          <w:rFonts w:ascii="Arial" w:hAnsi="Arial" w:cs="Arial"/>
          <w:sz w:val="18"/>
          <w:szCs w:val="18"/>
        </w:rPr>
        <w:t>Parlamentu Europejskiego</w:t>
      </w:r>
      <w:r w:rsidR="007B4DF3" w:rsidRPr="00FD2E15">
        <w:rPr>
          <w:rFonts w:ascii="Arial" w:hAnsi="Arial" w:cs="Arial"/>
          <w:sz w:val="18"/>
          <w:szCs w:val="18"/>
        </w:rPr>
        <w:t xml:space="preserve"> </w:t>
      </w:r>
      <w:r w:rsidR="00256164" w:rsidRPr="00FD2E15">
        <w:rPr>
          <w:rFonts w:ascii="Arial" w:hAnsi="Arial" w:cs="Arial"/>
          <w:sz w:val="18"/>
          <w:szCs w:val="18"/>
        </w:rPr>
        <w:t>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r w:rsidR="002E2ECB" w:rsidRPr="00FD2E15">
        <w:rPr>
          <w:rFonts w:ascii="Arial" w:hAnsi="Arial" w:cs="Arial"/>
          <w:sz w:val="18"/>
          <w:szCs w:val="18"/>
        </w:rPr>
        <w:t>.</w:t>
      </w:r>
    </w:p>
    <w:p w:rsidR="00D1505B" w:rsidRDefault="00DA70B8" w:rsidP="00DA70B8">
      <w:pPr>
        <w:tabs>
          <w:tab w:val="num" w:pos="567"/>
        </w:tabs>
        <w:spacing w:after="0" w:line="360" w:lineRule="auto"/>
        <w:jc w:val="both"/>
        <w:rPr>
          <w:rFonts w:ascii="Arial" w:hAnsi="Arial" w:cs="Arial"/>
          <w:sz w:val="18"/>
          <w:szCs w:val="18"/>
        </w:rPr>
      </w:pPr>
      <w:r w:rsidRPr="00FD2E15">
        <w:rPr>
          <w:rFonts w:ascii="Arial" w:hAnsi="Arial" w:cs="Arial"/>
          <w:sz w:val="18"/>
          <w:szCs w:val="18"/>
        </w:rPr>
        <w:tab/>
      </w:r>
      <w:r w:rsidR="00256164" w:rsidRPr="00FD2E15">
        <w:rPr>
          <w:rFonts w:ascii="Arial" w:hAnsi="Arial" w:cs="Arial"/>
          <w:sz w:val="18"/>
          <w:szCs w:val="18"/>
        </w:rPr>
        <w:t>Zostało opracowane zgodnie z załącznikiem V do rozporządzenia wykonawczego Komisji (UE) 2015/207 z dnia 20 stycznia 2015 r. ustanawiającego szczegółowe zasady wykonania rozporządzenia Parlamentu Europejskiego</w:t>
      </w:r>
      <w:r w:rsidR="007B4DF3" w:rsidRPr="00FD2E15">
        <w:rPr>
          <w:rFonts w:ascii="Arial" w:hAnsi="Arial" w:cs="Arial"/>
          <w:sz w:val="18"/>
          <w:szCs w:val="18"/>
        </w:rPr>
        <w:t xml:space="preserve"> </w:t>
      </w:r>
      <w:r w:rsidR="00256164" w:rsidRPr="00FD2E15">
        <w:rPr>
          <w:rFonts w:ascii="Arial" w:hAnsi="Arial" w:cs="Arial"/>
          <w:sz w:val="18"/>
          <w:szCs w:val="18"/>
        </w:rPr>
        <w:t xml:space="preserve">i Rady (UE) nr 1303/2013 w odniesieniu do wzoru sprawozdania z postępów, formatu dokumentu służącego przekazywaniu informacji na temat dużych projektów, wzorów wspólnego planu działania, sprawozdań </w:t>
      </w:r>
      <w:r w:rsidR="000B35BF" w:rsidRPr="00FD2E15">
        <w:rPr>
          <w:rFonts w:ascii="Arial" w:hAnsi="Arial" w:cs="Arial"/>
          <w:sz w:val="18"/>
          <w:szCs w:val="18"/>
        </w:rPr>
        <w:br/>
      </w:r>
      <w:r w:rsidR="00256164" w:rsidRPr="00FD2E15">
        <w:rPr>
          <w:rFonts w:ascii="Arial" w:hAnsi="Arial" w:cs="Arial"/>
          <w:sz w:val="18"/>
          <w:szCs w:val="18"/>
        </w:rPr>
        <w:t xml:space="preserve">z wdrażania w ramach celu „Inwestycje na rzecz wzrostu i zatrudnienia”, deklaracji zarządczej, strategii audytu, opinii audytowej i rocznego sprawozdania z kontroli oraz metodyki przeprowadzania analizy kosztów i korzyści, </w:t>
      </w:r>
      <w:r w:rsidR="000B35BF" w:rsidRPr="00FD2E15">
        <w:rPr>
          <w:rFonts w:ascii="Arial" w:hAnsi="Arial" w:cs="Arial"/>
          <w:sz w:val="18"/>
          <w:szCs w:val="18"/>
        </w:rPr>
        <w:br/>
      </w:r>
      <w:r w:rsidR="00256164" w:rsidRPr="00FD2E15">
        <w:rPr>
          <w:rFonts w:ascii="Arial" w:hAnsi="Arial" w:cs="Arial"/>
          <w:sz w:val="18"/>
          <w:szCs w:val="18"/>
        </w:rPr>
        <w:t>a także zgodnie z rozporządzeniem Parlamentu Europejskiego i Rady (UE) nr 1299/2013 w odniesieniu do wzoru sprawozdań z wdrażania w ramach celu „Euro</w:t>
      </w:r>
      <w:r w:rsidR="006216C7" w:rsidRPr="00FD2E15">
        <w:rPr>
          <w:rFonts w:ascii="Arial" w:hAnsi="Arial" w:cs="Arial"/>
          <w:sz w:val="18"/>
          <w:szCs w:val="18"/>
        </w:rPr>
        <w:t>pejska współpraca terytorialna” oraz</w:t>
      </w:r>
      <w:r w:rsidR="000B35BF" w:rsidRPr="00FD2E15">
        <w:rPr>
          <w:rFonts w:ascii="Arial" w:hAnsi="Arial" w:cs="Arial"/>
          <w:sz w:val="18"/>
          <w:szCs w:val="18"/>
        </w:rPr>
        <w:t xml:space="preserve"> </w:t>
      </w:r>
      <w:r w:rsidR="00256164" w:rsidRPr="00FD2E15">
        <w:rPr>
          <w:rFonts w:ascii="Arial" w:hAnsi="Arial" w:cs="Arial"/>
          <w:i/>
          <w:sz w:val="18"/>
          <w:szCs w:val="18"/>
        </w:rPr>
        <w:t>Wytycznymi w zakresie spra</w:t>
      </w:r>
      <w:r w:rsidR="000B35BF" w:rsidRPr="00FD2E15">
        <w:rPr>
          <w:rFonts w:ascii="Arial" w:hAnsi="Arial" w:cs="Arial"/>
          <w:i/>
          <w:sz w:val="18"/>
          <w:szCs w:val="18"/>
        </w:rPr>
        <w:t>wozdawczości na lata 2014-2020</w:t>
      </w:r>
      <w:r w:rsidRPr="00FD2E15">
        <w:rPr>
          <w:rFonts w:ascii="Arial" w:hAnsi="Arial" w:cs="Arial"/>
          <w:i/>
          <w:sz w:val="18"/>
          <w:szCs w:val="18"/>
        </w:rPr>
        <w:t xml:space="preserve"> </w:t>
      </w:r>
      <w:r w:rsidRPr="00FD2E15">
        <w:rPr>
          <w:rFonts w:ascii="Arial" w:hAnsi="Arial" w:cs="Arial"/>
          <w:sz w:val="18"/>
          <w:szCs w:val="18"/>
        </w:rPr>
        <w:t>wydanymi przez Ministra Rozwoju</w:t>
      </w:r>
      <w:r w:rsidR="00877332">
        <w:rPr>
          <w:rFonts w:ascii="Arial" w:hAnsi="Arial" w:cs="Arial"/>
          <w:sz w:val="18"/>
          <w:szCs w:val="18"/>
        </w:rPr>
        <w:t xml:space="preserve"> i Finansów.</w:t>
      </w:r>
    </w:p>
    <w:p w:rsidR="00D1505B" w:rsidRDefault="00D1505B" w:rsidP="00DA70B8">
      <w:pPr>
        <w:tabs>
          <w:tab w:val="num" w:pos="567"/>
        </w:tabs>
        <w:spacing w:after="0" w:line="360" w:lineRule="auto"/>
        <w:jc w:val="both"/>
        <w:rPr>
          <w:rFonts w:ascii="Arial" w:hAnsi="Arial" w:cs="Arial"/>
          <w:sz w:val="18"/>
          <w:szCs w:val="18"/>
        </w:rPr>
      </w:pPr>
    </w:p>
    <w:p w:rsidR="00D1505B" w:rsidRPr="00D1505B" w:rsidRDefault="00D1505B" w:rsidP="00DA70B8">
      <w:pPr>
        <w:tabs>
          <w:tab w:val="num" w:pos="567"/>
        </w:tabs>
        <w:spacing w:after="0" w:line="360" w:lineRule="auto"/>
        <w:jc w:val="both"/>
        <w:rPr>
          <w:rFonts w:ascii="Arial" w:hAnsi="Arial" w:cs="Arial"/>
          <w:b/>
          <w:sz w:val="18"/>
          <w:szCs w:val="18"/>
        </w:rPr>
      </w:pPr>
      <w:r w:rsidRPr="00D1505B">
        <w:rPr>
          <w:rFonts w:ascii="Arial" w:hAnsi="Arial" w:cs="Arial"/>
          <w:b/>
          <w:sz w:val="18"/>
          <w:szCs w:val="18"/>
        </w:rPr>
        <w:t>Postęp finansowy</w:t>
      </w:r>
    </w:p>
    <w:p w:rsidR="00B02BA2" w:rsidRPr="00B02BA2" w:rsidRDefault="00B02BA2" w:rsidP="00B02BA2">
      <w:pPr>
        <w:suppressAutoHyphens/>
        <w:spacing w:before="120" w:after="120" w:line="360" w:lineRule="auto"/>
        <w:jc w:val="both"/>
        <w:rPr>
          <w:rFonts w:ascii="Arial" w:eastAsia="Arial Unicode MS" w:hAnsi="Arial" w:cs="Arial"/>
          <w:kern w:val="2"/>
          <w:sz w:val="18"/>
          <w:szCs w:val="18"/>
          <w:lang w:eastAsia="ar-SA"/>
        </w:rPr>
      </w:pPr>
      <w:r w:rsidRPr="00B02BA2">
        <w:rPr>
          <w:rFonts w:ascii="Arial" w:eastAsia="Arial Unicode MS" w:hAnsi="Arial" w:cs="Arial"/>
          <w:kern w:val="2"/>
          <w:sz w:val="18"/>
          <w:szCs w:val="18"/>
          <w:lang w:eastAsia="ar-SA"/>
        </w:rPr>
        <w:t>W ramach EFRR od początku realizacji ogłoszono 39 konkursów o łącznej wartości alokacji 615,7 mln euro (w okresie sprawozdawczym 33 konkursy o wartości alokacji 49</w:t>
      </w:r>
      <w:r w:rsidR="007F76C7">
        <w:rPr>
          <w:rFonts w:ascii="Arial" w:eastAsia="Arial Unicode MS" w:hAnsi="Arial" w:cs="Arial"/>
          <w:kern w:val="2"/>
          <w:sz w:val="18"/>
          <w:szCs w:val="18"/>
          <w:lang w:eastAsia="ar-SA"/>
        </w:rPr>
        <w:t>4</w:t>
      </w:r>
      <w:r w:rsidRPr="00B02BA2">
        <w:rPr>
          <w:rFonts w:ascii="Arial" w:eastAsia="Arial Unicode MS" w:hAnsi="Arial" w:cs="Arial"/>
          <w:kern w:val="2"/>
          <w:sz w:val="18"/>
          <w:szCs w:val="18"/>
          <w:lang w:eastAsia="ar-SA"/>
        </w:rPr>
        <w:t>,</w:t>
      </w:r>
      <w:r w:rsidR="007F76C7">
        <w:rPr>
          <w:rFonts w:ascii="Arial" w:eastAsia="Arial Unicode MS" w:hAnsi="Arial" w:cs="Arial"/>
          <w:kern w:val="2"/>
          <w:sz w:val="18"/>
          <w:szCs w:val="18"/>
          <w:lang w:eastAsia="ar-SA"/>
        </w:rPr>
        <w:t>4</w:t>
      </w:r>
      <w:r w:rsidRPr="00B02BA2">
        <w:rPr>
          <w:rFonts w:ascii="Arial" w:eastAsia="Arial Unicode MS" w:hAnsi="Arial" w:cs="Arial"/>
          <w:kern w:val="2"/>
          <w:sz w:val="18"/>
          <w:szCs w:val="18"/>
          <w:lang w:eastAsia="ar-SA"/>
        </w:rPr>
        <w:t xml:space="preserve"> mln euro).</w:t>
      </w:r>
    </w:p>
    <w:p w:rsidR="00D1505B" w:rsidRPr="00D1505B" w:rsidRDefault="00B02BA2" w:rsidP="00B02BA2">
      <w:pPr>
        <w:suppressAutoHyphens/>
        <w:spacing w:before="120" w:after="120" w:line="360" w:lineRule="auto"/>
        <w:jc w:val="both"/>
        <w:rPr>
          <w:rFonts w:ascii="Arial" w:eastAsia="Arial Unicode MS" w:hAnsi="Arial" w:cs="Arial"/>
          <w:kern w:val="2"/>
          <w:sz w:val="18"/>
          <w:szCs w:val="18"/>
          <w:lang w:eastAsia="ar-SA"/>
        </w:rPr>
      </w:pPr>
      <w:r w:rsidRPr="00B02BA2">
        <w:rPr>
          <w:rFonts w:ascii="Arial" w:eastAsia="Arial Unicode MS" w:hAnsi="Arial" w:cs="Arial"/>
          <w:kern w:val="2"/>
          <w:sz w:val="18"/>
          <w:szCs w:val="18"/>
          <w:lang w:eastAsia="ar-SA"/>
        </w:rPr>
        <w:t>W ramach EFS ogłoszono 31 konkursów o łącznej wartości alokacji 119,2 mln euro (w okresie sprawozdawczym 21 konkursów o łącznej wartości alokacji 90,7 mln euro).</w:t>
      </w:r>
    </w:p>
    <w:p w:rsidR="00D1505B" w:rsidRDefault="00D1505B" w:rsidP="00D1505B">
      <w:pPr>
        <w:suppressAutoHyphens/>
        <w:spacing w:before="120" w:after="120" w:line="360" w:lineRule="auto"/>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W wykazie projektów pozakonkursowych zostało zidentyfikowanych 140 projektów o szacowanej wartości całkowitej 277,2 mln euro, w tym wkład UE 230,5 mln euro, z czego podpisano 66 umów o wartości całkowitej 132,8 mln euro i dof. UE 99,6 mln euro.</w:t>
      </w:r>
    </w:p>
    <w:p w:rsidR="00D1505B" w:rsidRPr="00D1505B" w:rsidRDefault="00D1505B" w:rsidP="002635FD">
      <w:pPr>
        <w:pStyle w:val="Akapitzlist"/>
        <w:numPr>
          <w:ilvl w:val="0"/>
          <w:numId w:val="30"/>
        </w:numPr>
        <w:suppressAutoHyphens/>
        <w:spacing w:before="120" w:after="120" w:line="360" w:lineRule="auto"/>
        <w:jc w:val="both"/>
        <w:rPr>
          <w:rFonts w:ascii="Arial" w:eastAsia="Arial Unicode MS" w:hAnsi="Arial" w:cs="Arial"/>
          <w:b/>
          <w:kern w:val="2"/>
          <w:sz w:val="18"/>
          <w:szCs w:val="18"/>
          <w:lang w:eastAsia="ar-SA"/>
        </w:rPr>
      </w:pPr>
      <w:r w:rsidRPr="00D1505B">
        <w:rPr>
          <w:rFonts w:ascii="Arial" w:eastAsia="Arial Unicode MS" w:hAnsi="Arial" w:cs="Arial"/>
          <w:b/>
          <w:kern w:val="2"/>
          <w:sz w:val="18"/>
          <w:szCs w:val="18"/>
          <w:lang w:eastAsia="ar-SA"/>
        </w:rPr>
        <w:t>Wnioski o dofinansowanie</w:t>
      </w:r>
    </w:p>
    <w:p w:rsidR="00D1505B" w:rsidRPr="00D1505B" w:rsidRDefault="00D1505B" w:rsidP="00D1505B">
      <w:pPr>
        <w:suppressAutoHyphens/>
        <w:spacing w:before="120" w:after="120" w:line="360" w:lineRule="auto"/>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 xml:space="preserve">Poprawnych pod względem formalnym złożono 2701 wniosków o </w:t>
      </w:r>
      <w:r>
        <w:rPr>
          <w:rFonts w:ascii="Arial" w:eastAsia="Arial Unicode MS" w:hAnsi="Arial" w:cs="Arial"/>
          <w:kern w:val="2"/>
          <w:sz w:val="18"/>
          <w:szCs w:val="18"/>
          <w:lang w:eastAsia="ar-SA"/>
        </w:rPr>
        <w:t>dofinansowanie</w:t>
      </w:r>
      <w:r w:rsidRPr="00D1505B">
        <w:rPr>
          <w:rFonts w:ascii="Arial" w:eastAsia="Arial Unicode MS" w:hAnsi="Arial" w:cs="Arial"/>
          <w:kern w:val="2"/>
          <w:sz w:val="18"/>
          <w:szCs w:val="18"/>
          <w:lang w:eastAsia="ar-SA"/>
        </w:rPr>
        <w:t xml:space="preserve"> o wartości ogółem 1329,2 mln euro oraz wartości dof</w:t>
      </w:r>
      <w:r>
        <w:rPr>
          <w:rFonts w:ascii="Arial" w:eastAsia="Arial Unicode MS" w:hAnsi="Arial" w:cs="Arial"/>
          <w:kern w:val="2"/>
          <w:sz w:val="18"/>
          <w:szCs w:val="18"/>
          <w:lang w:eastAsia="ar-SA"/>
        </w:rPr>
        <w:t>inansowania</w:t>
      </w:r>
      <w:r w:rsidRPr="00D1505B">
        <w:rPr>
          <w:rFonts w:ascii="Arial" w:eastAsia="Arial Unicode MS" w:hAnsi="Arial" w:cs="Arial"/>
          <w:kern w:val="2"/>
          <w:sz w:val="18"/>
          <w:szCs w:val="18"/>
          <w:lang w:eastAsia="ar-SA"/>
        </w:rPr>
        <w:t xml:space="preserve"> UE 946,3 mln euro (w okresie sprawozdawczym 2655 wniosków o wartości ogółem 1268,6 mln euro, w tym dof. UE 897,9 mln euro), z czego w ramach:</w:t>
      </w:r>
    </w:p>
    <w:p w:rsidR="00D1505B" w:rsidRPr="00D1505B" w:rsidRDefault="00D1505B" w:rsidP="002635FD">
      <w:pPr>
        <w:numPr>
          <w:ilvl w:val="0"/>
          <w:numId w:val="29"/>
        </w:numPr>
        <w:suppressAutoHyphens/>
        <w:spacing w:before="120" w:after="120" w:line="360" w:lineRule="auto"/>
        <w:ind w:left="709" w:hanging="425"/>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EFRR 1229 wniosków o wartości ogółem 962,7 mln euro oraz wartości dof. UE 653,2 mln euro,</w:t>
      </w:r>
    </w:p>
    <w:p w:rsidR="00D1505B" w:rsidRPr="00D1505B" w:rsidRDefault="00D1505B" w:rsidP="002635FD">
      <w:pPr>
        <w:numPr>
          <w:ilvl w:val="0"/>
          <w:numId w:val="29"/>
        </w:numPr>
        <w:spacing w:before="120" w:after="120" w:line="360" w:lineRule="auto"/>
        <w:ind w:left="709" w:hanging="425"/>
        <w:jc w:val="both"/>
        <w:rPr>
          <w:rFonts w:ascii="Arial" w:eastAsia="Arial Unicode MS" w:hAnsi="Arial" w:cs="Arial"/>
          <w:sz w:val="18"/>
          <w:szCs w:val="18"/>
        </w:rPr>
      </w:pPr>
      <w:r w:rsidRPr="00D1505B">
        <w:rPr>
          <w:rFonts w:ascii="Arial" w:eastAsia="Arial Unicode MS" w:hAnsi="Arial" w:cs="Arial"/>
          <w:sz w:val="18"/>
          <w:szCs w:val="18"/>
        </w:rPr>
        <w:t xml:space="preserve">EFS 1472 wniosków </w:t>
      </w:r>
      <w:r w:rsidRPr="00D1505B">
        <w:rPr>
          <w:rFonts w:ascii="Arial" w:eastAsia="Arial Unicode MS" w:hAnsi="Arial" w:cs="Arial"/>
          <w:kern w:val="2"/>
          <w:sz w:val="18"/>
          <w:szCs w:val="18"/>
          <w:lang w:eastAsia="ar-SA"/>
        </w:rPr>
        <w:t>o wartości ogółem 366,5 mln euro oraz wartości dof. UE 293,1 mln euro (w 2016 r. 1426 wniosków o wartości ogółem 306 mln euro oraz wartości dof. UE 244,7 mln euro).</w:t>
      </w:r>
    </w:p>
    <w:p w:rsidR="00D1505B" w:rsidRDefault="00477249" w:rsidP="00D1505B">
      <w:pPr>
        <w:spacing w:before="120" w:after="120" w:line="360" w:lineRule="auto"/>
        <w:jc w:val="both"/>
        <w:rPr>
          <w:rFonts w:ascii="Arial" w:eastAsia="Arial Unicode MS" w:hAnsi="Arial" w:cs="Arial"/>
          <w:sz w:val="18"/>
          <w:szCs w:val="18"/>
        </w:rPr>
      </w:pPr>
      <w:r>
        <w:rPr>
          <w:rFonts w:ascii="Arial" w:eastAsia="Arial Unicode MS" w:hAnsi="Arial" w:cs="Arial"/>
          <w:sz w:val="18"/>
          <w:szCs w:val="18"/>
        </w:rPr>
        <w:t>Wartość wniosków o dofinansowanie poprawnych pod względem formalnym w podziale na Osie Priorytetowe przedstawia poniższy wykres.</w:t>
      </w:r>
    </w:p>
    <w:p w:rsidR="00477249" w:rsidRDefault="00477249" w:rsidP="00D1505B">
      <w:pPr>
        <w:spacing w:before="120" w:after="120" w:line="360" w:lineRule="auto"/>
        <w:jc w:val="both"/>
        <w:rPr>
          <w:rFonts w:ascii="Arial" w:eastAsia="Arial Unicode MS" w:hAnsi="Arial" w:cs="Arial"/>
          <w:sz w:val="18"/>
          <w:szCs w:val="18"/>
        </w:rPr>
      </w:pPr>
    </w:p>
    <w:p w:rsidR="00477249" w:rsidRDefault="00477249" w:rsidP="00D1505B">
      <w:pPr>
        <w:spacing w:before="120" w:after="120" w:line="360" w:lineRule="auto"/>
        <w:jc w:val="both"/>
        <w:rPr>
          <w:rFonts w:ascii="Arial" w:eastAsia="Arial Unicode MS" w:hAnsi="Arial" w:cs="Arial"/>
          <w:sz w:val="18"/>
          <w:szCs w:val="18"/>
        </w:rPr>
      </w:pPr>
    </w:p>
    <w:p w:rsidR="00477249" w:rsidRPr="00477249" w:rsidRDefault="00477249" w:rsidP="00D1505B">
      <w:pPr>
        <w:spacing w:before="120" w:after="120" w:line="360" w:lineRule="auto"/>
        <w:jc w:val="both"/>
        <w:rPr>
          <w:rFonts w:ascii="Arial" w:eastAsia="Arial Unicode MS" w:hAnsi="Arial" w:cs="Arial"/>
          <w:b/>
          <w:sz w:val="18"/>
          <w:szCs w:val="18"/>
        </w:rPr>
      </w:pPr>
      <w:r w:rsidRPr="00477249">
        <w:rPr>
          <w:rFonts w:ascii="Arial" w:eastAsia="Arial Unicode MS" w:hAnsi="Arial" w:cs="Arial"/>
          <w:b/>
          <w:sz w:val="18"/>
          <w:szCs w:val="18"/>
        </w:rPr>
        <w:lastRenderedPageBreak/>
        <w:t>Wykres 1. Wartość wniosków o dofinansowanie (środki UE w mln</w:t>
      </w:r>
      <w:r>
        <w:rPr>
          <w:rFonts w:ascii="Arial" w:eastAsia="Arial Unicode MS" w:hAnsi="Arial" w:cs="Arial"/>
          <w:b/>
          <w:sz w:val="18"/>
          <w:szCs w:val="18"/>
        </w:rPr>
        <w:t xml:space="preserve"> euro</w:t>
      </w:r>
      <w:r w:rsidRPr="00477249">
        <w:rPr>
          <w:rFonts w:ascii="Arial" w:eastAsia="Arial Unicode MS" w:hAnsi="Arial" w:cs="Arial"/>
          <w:b/>
          <w:sz w:val="18"/>
          <w:szCs w:val="18"/>
        </w:rPr>
        <w:t>) – stan na 31.12.2016 r.</w:t>
      </w:r>
    </w:p>
    <w:p w:rsidR="00D1505B" w:rsidRDefault="00D1505B" w:rsidP="00D1505B">
      <w:pPr>
        <w:spacing w:before="120" w:after="120" w:line="360" w:lineRule="auto"/>
        <w:jc w:val="both"/>
        <w:rPr>
          <w:rFonts w:ascii="Arial" w:eastAsia="Arial Unicode MS" w:hAnsi="Arial" w:cs="Arial"/>
          <w:sz w:val="18"/>
          <w:szCs w:val="18"/>
        </w:rPr>
      </w:pPr>
      <w:r>
        <w:rPr>
          <w:noProof/>
          <w:lang w:eastAsia="pl-PL"/>
        </w:rPr>
        <w:drawing>
          <wp:inline distT="0" distB="0" distL="0" distR="0" wp14:anchorId="6713D9D9" wp14:editId="3936DBE8">
            <wp:extent cx="5133975" cy="3048000"/>
            <wp:effectExtent l="0" t="0" r="9525"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77249" w:rsidRDefault="00477249" w:rsidP="00D1505B">
      <w:pPr>
        <w:spacing w:before="120" w:after="120" w:line="360" w:lineRule="auto"/>
        <w:jc w:val="both"/>
        <w:rPr>
          <w:rFonts w:ascii="Arial" w:eastAsia="Arial Unicode MS" w:hAnsi="Arial" w:cs="Arial"/>
          <w:sz w:val="18"/>
          <w:szCs w:val="18"/>
        </w:rPr>
      </w:pPr>
    </w:p>
    <w:p w:rsidR="00477249" w:rsidRPr="00477249" w:rsidRDefault="00477249" w:rsidP="002635FD">
      <w:pPr>
        <w:pStyle w:val="Akapitzlist"/>
        <w:numPr>
          <w:ilvl w:val="0"/>
          <w:numId w:val="30"/>
        </w:numPr>
        <w:spacing w:before="120" w:after="120" w:line="360" w:lineRule="auto"/>
        <w:jc w:val="both"/>
        <w:rPr>
          <w:rFonts w:ascii="Arial" w:eastAsia="Arial Unicode MS" w:hAnsi="Arial" w:cs="Arial"/>
          <w:b/>
          <w:sz w:val="18"/>
          <w:szCs w:val="18"/>
        </w:rPr>
      </w:pPr>
      <w:r w:rsidRPr="00477249">
        <w:rPr>
          <w:rFonts w:ascii="Arial" w:eastAsia="Arial Unicode MS" w:hAnsi="Arial" w:cs="Arial"/>
          <w:b/>
          <w:sz w:val="18"/>
          <w:szCs w:val="18"/>
        </w:rPr>
        <w:t>Umowy o dofinansowanie</w:t>
      </w:r>
    </w:p>
    <w:p w:rsidR="00D1505B" w:rsidRPr="00D1505B" w:rsidRDefault="00D1505B" w:rsidP="00D1505B">
      <w:pPr>
        <w:suppressAutoHyphens/>
        <w:spacing w:before="120" w:after="120" w:line="360" w:lineRule="auto"/>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Podpisano 484 umowy o wartości ogółem 444,9 mln euro oraz wartości dof. UE 348,8 mln euro, co stanowi 17,75% alokacji (w okresie sprawozdawczym 437 umów o wartości ogółem 420,1 mln euro, w tym dof. UE 329 mln euro), z czego w ramach:</w:t>
      </w:r>
    </w:p>
    <w:p w:rsidR="00D1505B" w:rsidRPr="00D1505B" w:rsidRDefault="00D1505B" w:rsidP="002635FD">
      <w:pPr>
        <w:numPr>
          <w:ilvl w:val="0"/>
          <w:numId w:val="29"/>
        </w:numPr>
        <w:suppressAutoHyphens/>
        <w:spacing w:before="120" w:after="120" w:line="360" w:lineRule="auto"/>
        <w:ind w:left="709" w:hanging="425"/>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EFRR 214 umów o wartości ogółem 339,4 mln euro oraz wartości dof. UE 264,4 mln euro,</w:t>
      </w:r>
    </w:p>
    <w:p w:rsidR="00D1505B" w:rsidRDefault="00D1505B" w:rsidP="002635FD">
      <w:pPr>
        <w:numPr>
          <w:ilvl w:val="0"/>
          <w:numId w:val="29"/>
        </w:numPr>
        <w:suppressAutoHyphens/>
        <w:spacing w:before="120" w:after="120" w:line="360" w:lineRule="auto"/>
        <w:ind w:left="709" w:hanging="425"/>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 xml:space="preserve">EFS 270 umów o wartości ogółem 105,5 mln euro oraz wartości dof. UE 84,4 mln euro (w 2016 r. 223 umowy </w:t>
      </w:r>
      <w:r w:rsidR="003E3BCB">
        <w:rPr>
          <w:rFonts w:ascii="Arial" w:eastAsia="Arial Unicode MS" w:hAnsi="Arial" w:cs="Arial"/>
          <w:kern w:val="2"/>
          <w:sz w:val="18"/>
          <w:szCs w:val="18"/>
          <w:lang w:eastAsia="ar-SA"/>
        </w:rPr>
        <w:t>80,7</w:t>
      </w:r>
      <w:r w:rsidRPr="00D1505B">
        <w:rPr>
          <w:rFonts w:ascii="Arial" w:eastAsia="Arial Unicode MS" w:hAnsi="Arial" w:cs="Arial"/>
          <w:kern w:val="2"/>
          <w:sz w:val="18"/>
          <w:szCs w:val="18"/>
          <w:lang w:eastAsia="ar-SA"/>
        </w:rPr>
        <w:t xml:space="preserve"> mln euro oraz wartości dof. UE </w:t>
      </w:r>
      <w:r w:rsidR="003E3BCB">
        <w:rPr>
          <w:rFonts w:ascii="Arial" w:eastAsia="Arial Unicode MS" w:hAnsi="Arial" w:cs="Arial"/>
          <w:kern w:val="2"/>
          <w:sz w:val="18"/>
          <w:szCs w:val="18"/>
          <w:lang w:eastAsia="ar-SA"/>
        </w:rPr>
        <w:t>64,6</w:t>
      </w:r>
      <w:r w:rsidRPr="00D1505B">
        <w:rPr>
          <w:rFonts w:ascii="Arial" w:eastAsia="Arial Unicode MS" w:hAnsi="Arial" w:cs="Arial"/>
          <w:kern w:val="2"/>
          <w:sz w:val="18"/>
          <w:szCs w:val="18"/>
          <w:lang w:eastAsia="ar-SA"/>
        </w:rPr>
        <w:t xml:space="preserve"> mln euro).</w:t>
      </w:r>
    </w:p>
    <w:p w:rsidR="00B47E6C" w:rsidRDefault="005426D4" w:rsidP="00477249">
      <w:pPr>
        <w:suppressAutoHyphens/>
        <w:spacing w:before="120" w:after="120" w:line="360" w:lineRule="auto"/>
        <w:jc w:val="both"/>
        <w:rPr>
          <w:rFonts w:ascii="Arial" w:eastAsia="Arial Unicode MS" w:hAnsi="Arial" w:cs="Arial"/>
          <w:kern w:val="2"/>
          <w:sz w:val="18"/>
          <w:szCs w:val="18"/>
          <w:lang w:eastAsia="ar-SA"/>
        </w:rPr>
      </w:pPr>
      <w:r w:rsidRPr="005426D4">
        <w:rPr>
          <w:rFonts w:ascii="Arial" w:eastAsia="Arial Unicode MS" w:hAnsi="Arial" w:cs="Arial"/>
          <w:kern w:val="2"/>
          <w:sz w:val="18"/>
          <w:szCs w:val="18"/>
          <w:lang w:eastAsia="ar-SA"/>
        </w:rPr>
        <w:t xml:space="preserve">Wartość </w:t>
      </w:r>
      <w:r>
        <w:rPr>
          <w:rFonts w:ascii="Arial" w:eastAsia="Arial Unicode MS" w:hAnsi="Arial" w:cs="Arial"/>
          <w:kern w:val="2"/>
          <w:sz w:val="18"/>
          <w:szCs w:val="18"/>
          <w:lang w:eastAsia="ar-SA"/>
        </w:rPr>
        <w:t>zawartych umów</w:t>
      </w:r>
      <w:r w:rsidRPr="005426D4">
        <w:rPr>
          <w:rFonts w:ascii="Arial" w:eastAsia="Arial Unicode MS" w:hAnsi="Arial" w:cs="Arial"/>
          <w:kern w:val="2"/>
          <w:sz w:val="18"/>
          <w:szCs w:val="18"/>
          <w:lang w:eastAsia="ar-SA"/>
        </w:rPr>
        <w:t xml:space="preserve"> o dofinansowanie w podziale na Osie Priorytetowe przedstawia poniższy wykres.</w:t>
      </w:r>
    </w:p>
    <w:p w:rsidR="00477249" w:rsidRDefault="00B47E6C" w:rsidP="00477249">
      <w:pPr>
        <w:suppressAutoHyphens/>
        <w:spacing w:before="120" w:after="120" w:line="360" w:lineRule="auto"/>
        <w:jc w:val="both"/>
        <w:rPr>
          <w:rFonts w:ascii="Arial" w:eastAsia="Arial Unicode MS" w:hAnsi="Arial" w:cs="Arial"/>
          <w:kern w:val="2"/>
          <w:sz w:val="18"/>
          <w:szCs w:val="18"/>
          <w:lang w:eastAsia="ar-SA"/>
        </w:rPr>
      </w:pPr>
      <w:r>
        <w:rPr>
          <w:rFonts w:ascii="Arial" w:eastAsia="Arial Unicode MS" w:hAnsi="Arial" w:cs="Arial"/>
          <w:kern w:val="2"/>
          <w:sz w:val="18"/>
          <w:szCs w:val="18"/>
          <w:lang w:eastAsia="ar-SA"/>
        </w:rPr>
        <w:br w:type="column"/>
      </w:r>
    </w:p>
    <w:p w:rsidR="005426D4" w:rsidRPr="005426D4" w:rsidRDefault="005426D4" w:rsidP="00477249">
      <w:pPr>
        <w:suppressAutoHyphens/>
        <w:spacing w:before="120" w:after="120" w:line="360" w:lineRule="auto"/>
        <w:jc w:val="both"/>
        <w:rPr>
          <w:rFonts w:ascii="Arial" w:eastAsia="Arial Unicode MS" w:hAnsi="Arial" w:cs="Arial"/>
          <w:b/>
          <w:kern w:val="2"/>
          <w:sz w:val="18"/>
          <w:szCs w:val="18"/>
          <w:lang w:eastAsia="ar-SA"/>
        </w:rPr>
      </w:pPr>
      <w:r w:rsidRPr="005426D4">
        <w:rPr>
          <w:rFonts w:ascii="Arial" w:eastAsia="Arial Unicode MS" w:hAnsi="Arial" w:cs="Arial"/>
          <w:b/>
          <w:kern w:val="2"/>
          <w:sz w:val="18"/>
          <w:szCs w:val="18"/>
          <w:lang w:eastAsia="ar-SA"/>
        </w:rPr>
        <w:t>Wykres 2. Wartość podpisanych umów/wydanych decyzji o dofinansowanie (środki UE w mln euro oraz jako % alokacji) – stan na 31.12.201</w:t>
      </w:r>
      <w:r>
        <w:rPr>
          <w:rFonts w:ascii="Arial" w:eastAsia="Arial Unicode MS" w:hAnsi="Arial" w:cs="Arial"/>
          <w:b/>
          <w:kern w:val="2"/>
          <w:sz w:val="18"/>
          <w:szCs w:val="18"/>
          <w:lang w:eastAsia="ar-SA"/>
        </w:rPr>
        <w:t>6</w:t>
      </w:r>
      <w:r w:rsidRPr="005426D4">
        <w:rPr>
          <w:rFonts w:ascii="Arial" w:eastAsia="Arial Unicode MS" w:hAnsi="Arial" w:cs="Arial"/>
          <w:b/>
          <w:kern w:val="2"/>
          <w:sz w:val="18"/>
          <w:szCs w:val="18"/>
          <w:lang w:eastAsia="ar-SA"/>
        </w:rPr>
        <w:t xml:space="preserve"> r.</w:t>
      </w:r>
    </w:p>
    <w:p w:rsidR="00477249" w:rsidRDefault="00477249" w:rsidP="00477249">
      <w:pPr>
        <w:suppressAutoHyphens/>
        <w:spacing w:before="120" w:after="120" w:line="360" w:lineRule="auto"/>
        <w:jc w:val="both"/>
        <w:rPr>
          <w:rFonts w:ascii="Arial" w:eastAsia="Arial Unicode MS" w:hAnsi="Arial" w:cs="Arial"/>
          <w:kern w:val="2"/>
          <w:sz w:val="18"/>
          <w:szCs w:val="18"/>
          <w:lang w:eastAsia="ar-SA"/>
        </w:rPr>
      </w:pPr>
      <w:r>
        <w:rPr>
          <w:noProof/>
          <w:lang w:eastAsia="pl-PL"/>
        </w:rPr>
        <w:drawing>
          <wp:inline distT="0" distB="0" distL="0" distR="0" wp14:anchorId="10ACB6F5" wp14:editId="3554AD88">
            <wp:extent cx="5305425" cy="3114675"/>
            <wp:effectExtent l="0" t="0" r="9525" b="9525"/>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77249" w:rsidRDefault="00477249" w:rsidP="00477249">
      <w:pPr>
        <w:suppressAutoHyphens/>
        <w:spacing w:before="120" w:after="120" w:line="360" w:lineRule="auto"/>
        <w:jc w:val="both"/>
        <w:rPr>
          <w:rFonts w:ascii="Arial" w:eastAsia="Arial Unicode MS" w:hAnsi="Arial" w:cs="Arial"/>
          <w:kern w:val="2"/>
          <w:sz w:val="18"/>
          <w:szCs w:val="18"/>
          <w:lang w:eastAsia="ar-SA"/>
        </w:rPr>
      </w:pPr>
    </w:p>
    <w:p w:rsidR="005426D4" w:rsidRPr="005426D4" w:rsidRDefault="005426D4" w:rsidP="002635FD">
      <w:pPr>
        <w:pStyle w:val="Akapitzlist"/>
        <w:numPr>
          <w:ilvl w:val="0"/>
          <w:numId w:val="30"/>
        </w:numPr>
        <w:suppressAutoHyphens/>
        <w:spacing w:before="120" w:after="120" w:line="360" w:lineRule="auto"/>
        <w:jc w:val="both"/>
        <w:rPr>
          <w:rFonts w:ascii="Arial" w:eastAsia="Arial Unicode MS" w:hAnsi="Arial" w:cs="Arial"/>
          <w:b/>
          <w:kern w:val="2"/>
          <w:sz w:val="18"/>
          <w:szCs w:val="18"/>
          <w:lang w:eastAsia="ar-SA"/>
        </w:rPr>
      </w:pPr>
      <w:r w:rsidRPr="005426D4">
        <w:rPr>
          <w:rFonts w:ascii="Arial" w:eastAsia="Arial Unicode MS" w:hAnsi="Arial" w:cs="Arial"/>
          <w:b/>
          <w:kern w:val="2"/>
          <w:sz w:val="18"/>
          <w:szCs w:val="18"/>
          <w:lang w:eastAsia="ar-SA"/>
        </w:rPr>
        <w:t>Wydatki poniesione przez beneficjentów – wnioski o płatność</w:t>
      </w:r>
    </w:p>
    <w:p w:rsidR="00D1505B" w:rsidRPr="00D1505B" w:rsidRDefault="00D1505B" w:rsidP="00D1505B">
      <w:pPr>
        <w:suppressAutoHyphens/>
        <w:spacing w:before="120" w:after="120" w:line="360" w:lineRule="auto"/>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Wydatki wykazane przez beneficjentów w zatwierdzonych wop wyniosły 52,5 mln euro, w tym dof. UE 38,6 mln euro (1,97% alokacji), z czego w ramach:</w:t>
      </w:r>
    </w:p>
    <w:p w:rsidR="00D1505B" w:rsidRPr="00D1505B" w:rsidRDefault="00D1505B" w:rsidP="002635FD">
      <w:pPr>
        <w:numPr>
          <w:ilvl w:val="0"/>
          <w:numId w:val="29"/>
        </w:numPr>
        <w:suppressAutoHyphens/>
        <w:spacing w:before="120" w:after="120" w:line="360" w:lineRule="auto"/>
        <w:ind w:left="709" w:hanging="425"/>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EFRR wartość ogółem 23,1 mln euro, w tym dof. UE 15,4 mln euro,</w:t>
      </w:r>
    </w:p>
    <w:p w:rsidR="00D1505B" w:rsidRPr="00D1505B" w:rsidRDefault="00D1505B" w:rsidP="002635FD">
      <w:pPr>
        <w:numPr>
          <w:ilvl w:val="0"/>
          <w:numId w:val="29"/>
        </w:numPr>
        <w:suppressAutoHyphens/>
        <w:spacing w:before="120" w:after="120" w:line="360" w:lineRule="auto"/>
        <w:ind w:left="709" w:hanging="425"/>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EFS o wartość ogółem 29,3 mln euro, w tym dof. UE 23,3 mln euro.</w:t>
      </w:r>
    </w:p>
    <w:p w:rsidR="00D1505B" w:rsidRDefault="00D1505B" w:rsidP="00D1505B">
      <w:pPr>
        <w:suppressAutoHyphens/>
        <w:spacing w:before="120" w:after="120" w:line="360" w:lineRule="auto"/>
        <w:ind w:left="720"/>
        <w:jc w:val="both"/>
        <w:rPr>
          <w:rFonts w:ascii="Arial" w:eastAsia="Arial Unicode MS" w:hAnsi="Arial" w:cs="Arial"/>
          <w:kern w:val="2"/>
          <w:sz w:val="18"/>
          <w:szCs w:val="18"/>
          <w:lang w:eastAsia="ar-SA"/>
        </w:rPr>
      </w:pPr>
      <w:r w:rsidRPr="00D1505B">
        <w:rPr>
          <w:rFonts w:ascii="Arial" w:eastAsia="Arial Unicode MS" w:hAnsi="Arial" w:cs="Arial"/>
          <w:kern w:val="2"/>
          <w:sz w:val="18"/>
          <w:szCs w:val="18"/>
          <w:lang w:eastAsia="ar-SA"/>
        </w:rPr>
        <w:t>Ww. wydatki zostały wykazane w 2016 r.</w:t>
      </w:r>
      <w:r w:rsidR="005426D4">
        <w:rPr>
          <w:rFonts w:ascii="Arial" w:eastAsia="Arial Unicode MS" w:hAnsi="Arial" w:cs="Arial"/>
          <w:kern w:val="2"/>
          <w:sz w:val="18"/>
          <w:szCs w:val="18"/>
          <w:lang w:eastAsia="ar-SA"/>
        </w:rPr>
        <w:t xml:space="preserve"> w ramach następujących Osi Priorytetowych:</w:t>
      </w:r>
    </w:p>
    <w:p w:rsidR="005426D4" w:rsidRDefault="005426D4" w:rsidP="002635FD">
      <w:pPr>
        <w:pStyle w:val="Akapitzlist"/>
        <w:numPr>
          <w:ilvl w:val="0"/>
          <w:numId w:val="31"/>
        </w:numPr>
        <w:suppressAutoHyphens/>
        <w:spacing w:before="120" w:after="120" w:line="360" w:lineRule="auto"/>
        <w:jc w:val="both"/>
        <w:rPr>
          <w:rFonts w:ascii="Arial" w:eastAsia="Arial Unicode MS" w:hAnsi="Arial" w:cs="Arial"/>
          <w:kern w:val="2"/>
          <w:sz w:val="18"/>
          <w:szCs w:val="18"/>
          <w:lang w:eastAsia="ar-SA"/>
        </w:rPr>
      </w:pPr>
      <w:r>
        <w:rPr>
          <w:rFonts w:ascii="Arial" w:eastAsia="Arial Unicode MS" w:hAnsi="Arial" w:cs="Arial"/>
          <w:kern w:val="2"/>
          <w:sz w:val="18"/>
          <w:szCs w:val="18"/>
          <w:lang w:eastAsia="ar-SA"/>
        </w:rPr>
        <w:t xml:space="preserve">OP I - </w:t>
      </w:r>
      <w:r w:rsidRPr="005426D4">
        <w:rPr>
          <w:rFonts w:ascii="Arial" w:eastAsia="Arial Unicode MS" w:hAnsi="Arial" w:cs="Arial"/>
          <w:kern w:val="2"/>
          <w:sz w:val="18"/>
          <w:szCs w:val="18"/>
          <w:lang w:eastAsia="ar-SA"/>
        </w:rPr>
        <w:t xml:space="preserve">wartość ogółem </w:t>
      </w:r>
      <w:r>
        <w:rPr>
          <w:rFonts w:ascii="Arial" w:eastAsia="Arial Unicode MS" w:hAnsi="Arial" w:cs="Arial"/>
          <w:kern w:val="2"/>
          <w:sz w:val="18"/>
          <w:szCs w:val="18"/>
          <w:lang w:eastAsia="ar-SA"/>
        </w:rPr>
        <w:t>0,05</w:t>
      </w:r>
      <w:r w:rsidRPr="005426D4">
        <w:rPr>
          <w:rFonts w:ascii="Arial" w:eastAsia="Arial Unicode MS" w:hAnsi="Arial" w:cs="Arial"/>
          <w:kern w:val="2"/>
          <w:sz w:val="18"/>
          <w:szCs w:val="18"/>
          <w:lang w:eastAsia="ar-SA"/>
        </w:rPr>
        <w:t xml:space="preserve"> mln euro, w tym dof. UE </w:t>
      </w:r>
      <w:r>
        <w:rPr>
          <w:rFonts w:ascii="Arial" w:eastAsia="Arial Unicode MS" w:hAnsi="Arial" w:cs="Arial"/>
          <w:kern w:val="2"/>
          <w:sz w:val="18"/>
          <w:szCs w:val="18"/>
          <w:lang w:eastAsia="ar-SA"/>
        </w:rPr>
        <w:t>0,03</w:t>
      </w:r>
      <w:r w:rsidRPr="005426D4">
        <w:rPr>
          <w:rFonts w:ascii="Arial" w:eastAsia="Arial Unicode MS" w:hAnsi="Arial" w:cs="Arial"/>
          <w:kern w:val="2"/>
          <w:sz w:val="18"/>
          <w:szCs w:val="18"/>
          <w:lang w:eastAsia="ar-SA"/>
        </w:rPr>
        <w:t xml:space="preserve"> mln euro</w:t>
      </w:r>
      <w:r>
        <w:rPr>
          <w:rFonts w:ascii="Arial" w:eastAsia="Arial Unicode MS" w:hAnsi="Arial" w:cs="Arial"/>
          <w:kern w:val="2"/>
          <w:sz w:val="18"/>
          <w:szCs w:val="18"/>
          <w:lang w:eastAsia="ar-SA"/>
        </w:rPr>
        <w:t xml:space="preserve"> (0,01% alokacji),</w:t>
      </w:r>
    </w:p>
    <w:p w:rsidR="005426D4" w:rsidRDefault="005426D4" w:rsidP="002635FD">
      <w:pPr>
        <w:pStyle w:val="Akapitzlist"/>
        <w:numPr>
          <w:ilvl w:val="0"/>
          <w:numId w:val="31"/>
        </w:numPr>
        <w:suppressAutoHyphens/>
        <w:spacing w:before="120" w:after="120" w:line="360" w:lineRule="auto"/>
        <w:jc w:val="both"/>
        <w:rPr>
          <w:rFonts w:ascii="Arial" w:eastAsia="Arial Unicode MS" w:hAnsi="Arial" w:cs="Arial"/>
          <w:kern w:val="2"/>
          <w:sz w:val="18"/>
          <w:szCs w:val="18"/>
          <w:lang w:eastAsia="ar-SA"/>
        </w:rPr>
      </w:pPr>
      <w:r>
        <w:rPr>
          <w:rFonts w:ascii="Arial" w:eastAsia="Arial Unicode MS" w:hAnsi="Arial" w:cs="Arial"/>
          <w:kern w:val="2"/>
          <w:sz w:val="18"/>
          <w:szCs w:val="18"/>
          <w:lang w:eastAsia="ar-SA"/>
        </w:rPr>
        <w:t xml:space="preserve">OP II - </w:t>
      </w:r>
      <w:r w:rsidRPr="005426D4">
        <w:rPr>
          <w:rFonts w:ascii="Arial" w:eastAsia="Arial Unicode MS" w:hAnsi="Arial" w:cs="Arial"/>
          <w:kern w:val="2"/>
          <w:sz w:val="18"/>
          <w:szCs w:val="18"/>
          <w:lang w:eastAsia="ar-SA"/>
        </w:rPr>
        <w:t xml:space="preserve">wartość ogółem </w:t>
      </w:r>
      <w:r>
        <w:rPr>
          <w:rFonts w:ascii="Arial" w:eastAsia="Arial Unicode MS" w:hAnsi="Arial" w:cs="Arial"/>
          <w:kern w:val="2"/>
          <w:sz w:val="18"/>
          <w:szCs w:val="18"/>
          <w:lang w:eastAsia="ar-SA"/>
        </w:rPr>
        <w:t>2,4</w:t>
      </w:r>
      <w:r w:rsidRPr="005426D4">
        <w:rPr>
          <w:rFonts w:ascii="Arial" w:eastAsia="Arial Unicode MS" w:hAnsi="Arial" w:cs="Arial"/>
          <w:kern w:val="2"/>
          <w:sz w:val="18"/>
          <w:szCs w:val="18"/>
          <w:lang w:eastAsia="ar-SA"/>
        </w:rPr>
        <w:t xml:space="preserve"> mln euro, w tym dof. UE </w:t>
      </w:r>
      <w:r>
        <w:rPr>
          <w:rFonts w:ascii="Arial" w:eastAsia="Arial Unicode MS" w:hAnsi="Arial" w:cs="Arial"/>
          <w:kern w:val="2"/>
          <w:sz w:val="18"/>
          <w:szCs w:val="18"/>
          <w:lang w:eastAsia="ar-SA"/>
        </w:rPr>
        <w:t>1,9</w:t>
      </w:r>
      <w:r w:rsidRPr="005426D4">
        <w:rPr>
          <w:rFonts w:ascii="Arial" w:eastAsia="Arial Unicode MS" w:hAnsi="Arial" w:cs="Arial"/>
          <w:kern w:val="2"/>
          <w:sz w:val="18"/>
          <w:szCs w:val="18"/>
          <w:lang w:eastAsia="ar-SA"/>
        </w:rPr>
        <w:t xml:space="preserve"> mln euro</w:t>
      </w:r>
      <w:r>
        <w:rPr>
          <w:rFonts w:ascii="Arial" w:eastAsia="Arial Unicode MS" w:hAnsi="Arial" w:cs="Arial"/>
          <w:kern w:val="2"/>
          <w:sz w:val="18"/>
          <w:szCs w:val="18"/>
          <w:lang w:eastAsia="ar-SA"/>
        </w:rPr>
        <w:t xml:space="preserve"> (1,33% alokacji),</w:t>
      </w:r>
    </w:p>
    <w:p w:rsidR="005426D4" w:rsidRDefault="005426D4" w:rsidP="002635FD">
      <w:pPr>
        <w:pStyle w:val="Akapitzlist"/>
        <w:numPr>
          <w:ilvl w:val="0"/>
          <w:numId w:val="31"/>
        </w:numPr>
        <w:suppressAutoHyphens/>
        <w:spacing w:before="120" w:after="120" w:line="360" w:lineRule="auto"/>
        <w:jc w:val="both"/>
        <w:rPr>
          <w:rFonts w:ascii="Arial" w:eastAsia="Arial Unicode MS" w:hAnsi="Arial" w:cs="Arial"/>
          <w:kern w:val="2"/>
          <w:sz w:val="18"/>
          <w:szCs w:val="18"/>
          <w:lang w:eastAsia="ar-SA"/>
        </w:rPr>
      </w:pPr>
      <w:r>
        <w:rPr>
          <w:rFonts w:ascii="Arial" w:eastAsia="Arial Unicode MS" w:hAnsi="Arial" w:cs="Arial"/>
          <w:kern w:val="2"/>
          <w:sz w:val="18"/>
          <w:szCs w:val="18"/>
          <w:lang w:eastAsia="ar-SA"/>
        </w:rPr>
        <w:t>OP</w:t>
      </w:r>
      <w:r w:rsidR="000B4232">
        <w:rPr>
          <w:rFonts w:ascii="Arial" w:eastAsia="Arial Unicode MS" w:hAnsi="Arial" w:cs="Arial"/>
          <w:kern w:val="2"/>
          <w:sz w:val="18"/>
          <w:szCs w:val="18"/>
          <w:lang w:eastAsia="ar-SA"/>
        </w:rPr>
        <w:t xml:space="preserve"> VII - </w:t>
      </w:r>
      <w:r w:rsidR="000B4232" w:rsidRPr="000B4232">
        <w:rPr>
          <w:rFonts w:ascii="Arial" w:eastAsia="Arial Unicode MS" w:hAnsi="Arial" w:cs="Arial"/>
          <w:kern w:val="2"/>
          <w:sz w:val="18"/>
          <w:szCs w:val="18"/>
          <w:lang w:eastAsia="ar-SA"/>
        </w:rPr>
        <w:t xml:space="preserve">wartość ogółem </w:t>
      </w:r>
      <w:r w:rsidR="000B4232">
        <w:rPr>
          <w:rFonts w:ascii="Arial" w:eastAsia="Arial Unicode MS" w:hAnsi="Arial" w:cs="Arial"/>
          <w:kern w:val="2"/>
          <w:sz w:val="18"/>
          <w:szCs w:val="18"/>
          <w:lang w:eastAsia="ar-SA"/>
        </w:rPr>
        <w:t>20,7</w:t>
      </w:r>
      <w:r w:rsidR="000B4232" w:rsidRPr="000B4232">
        <w:rPr>
          <w:rFonts w:ascii="Arial" w:eastAsia="Arial Unicode MS" w:hAnsi="Arial" w:cs="Arial"/>
          <w:kern w:val="2"/>
          <w:sz w:val="18"/>
          <w:szCs w:val="18"/>
          <w:lang w:eastAsia="ar-SA"/>
        </w:rPr>
        <w:t xml:space="preserve"> mln euro, w tym dof. UE </w:t>
      </w:r>
      <w:r w:rsidR="000B4232">
        <w:rPr>
          <w:rFonts w:ascii="Arial" w:eastAsia="Arial Unicode MS" w:hAnsi="Arial" w:cs="Arial"/>
          <w:kern w:val="2"/>
          <w:sz w:val="18"/>
          <w:szCs w:val="18"/>
          <w:lang w:eastAsia="ar-SA"/>
        </w:rPr>
        <w:t>13,4</w:t>
      </w:r>
      <w:r w:rsidR="000B4232" w:rsidRPr="000B4232">
        <w:rPr>
          <w:rFonts w:ascii="Arial" w:eastAsia="Arial Unicode MS" w:hAnsi="Arial" w:cs="Arial"/>
          <w:kern w:val="2"/>
          <w:sz w:val="18"/>
          <w:szCs w:val="18"/>
          <w:lang w:eastAsia="ar-SA"/>
        </w:rPr>
        <w:t xml:space="preserve"> mln euro (</w:t>
      </w:r>
      <w:r w:rsidR="000B4232">
        <w:rPr>
          <w:rFonts w:ascii="Arial" w:eastAsia="Arial Unicode MS" w:hAnsi="Arial" w:cs="Arial"/>
          <w:kern w:val="2"/>
          <w:sz w:val="18"/>
          <w:szCs w:val="18"/>
          <w:lang w:eastAsia="ar-SA"/>
        </w:rPr>
        <w:t>3,89</w:t>
      </w:r>
      <w:r w:rsidR="000B4232" w:rsidRPr="000B4232">
        <w:rPr>
          <w:rFonts w:ascii="Arial" w:eastAsia="Arial Unicode MS" w:hAnsi="Arial" w:cs="Arial"/>
          <w:kern w:val="2"/>
          <w:sz w:val="18"/>
          <w:szCs w:val="18"/>
          <w:lang w:eastAsia="ar-SA"/>
        </w:rPr>
        <w:t>% alokacji),</w:t>
      </w:r>
    </w:p>
    <w:p w:rsidR="000B4232" w:rsidRDefault="000B4232" w:rsidP="002635FD">
      <w:pPr>
        <w:pStyle w:val="Akapitzlist"/>
        <w:numPr>
          <w:ilvl w:val="0"/>
          <w:numId w:val="31"/>
        </w:numPr>
        <w:suppressAutoHyphens/>
        <w:spacing w:before="120" w:after="120" w:line="360" w:lineRule="auto"/>
        <w:jc w:val="both"/>
        <w:rPr>
          <w:rFonts w:ascii="Arial" w:eastAsia="Arial Unicode MS" w:hAnsi="Arial" w:cs="Arial"/>
          <w:kern w:val="2"/>
          <w:sz w:val="18"/>
          <w:szCs w:val="18"/>
          <w:lang w:eastAsia="ar-SA"/>
        </w:rPr>
      </w:pPr>
      <w:r>
        <w:rPr>
          <w:rFonts w:ascii="Arial" w:eastAsia="Arial Unicode MS" w:hAnsi="Arial" w:cs="Arial"/>
          <w:kern w:val="2"/>
          <w:sz w:val="18"/>
          <w:szCs w:val="18"/>
          <w:lang w:eastAsia="ar-SA"/>
        </w:rPr>
        <w:t xml:space="preserve">OP VIII - </w:t>
      </w:r>
      <w:r w:rsidRPr="000B4232">
        <w:rPr>
          <w:rFonts w:ascii="Arial" w:eastAsia="Arial Unicode MS" w:hAnsi="Arial" w:cs="Arial"/>
          <w:kern w:val="2"/>
          <w:sz w:val="18"/>
          <w:szCs w:val="18"/>
          <w:lang w:eastAsia="ar-SA"/>
        </w:rPr>
        <w:t>wartość ogółem 2</w:t>
      </w:r>
      <w:r>
        <w:rPr>
          <w:rFonts w:ascii="Arial" w:eastAsia="Arial Unicode MS" w:hAnsi="Arial" w:cs="Arial"/>
          <w:kern w:val="2"/>
          <w:sz w:val="18"/>
          <w:szCs w:val="18"/>
          <w:lang w:eastAsia="ar-SA"/>
        </w:rPr>
        <w:t>0</w:t>
      </w:r>
      <w:r w:rsidRPr="000B4232">
        <w:rPr>
          <w:rFonts w:ascii="Arial" w:eastAsia="Arial Unicode MS" w:hAnsi="Arial" w:cs="Arial"/>
          <w:kern w:val="2"/>
          <w:sz w:val="18"/>
          <w:szCs w:val="18"/>
          <w:lang w:eastAsia="ar-SA"/>
        </w:rPr>
        <w:t>,</w:t>
      </w:r>
      <w:r>
        <w:rPr>
          <w:rFonts w:ascii="Arial" w:eastAsia="Arial Unicode MS" w:hAnsi="Arial" w:cs="Arial"/>
          <w:kern w:val="2"/>
          <w:sz w:val="18"/>
          <w:szCs w:val="18"/>
          <w:lang w:eastAsia="ar-SA"/>
        </w:rPr>
        <w:t>7</w:t>
      </w:r>
      <w:r w:rsidRPr="000B4232">
        <w:rPr>
          <w:rFonts w:ascii="Arial" w:eastAsia="Arial Unicode MS" w:hAnsi="Arial" w:cs="Arial"/>
          <w:kern w:val="2"/>
          <w:sz w:val="18"/>
          <w:szCs w:val="18"/>
          <w:lang w:eastAsia="ar-SA"/>
        </w:rPr>
        <w:t xml:space="preserve"> mln euro, w tym dof. UE </w:t>
      </w:r>
      <w:r>
        <w:rPr>
          <w:rFonts w:ascii="Arial" w:eastAsia="Arial Unicode MS" w:hAnsi="Arial" w:cs="Arial"/>
          <w:kern w:val="2"/>
          <w:sz w:val="18"/>
          <w:szCs w:val="18"/>
          <w:lang w:eastAsia="ar-SA"/>
        </w:rPr>
        <w:t>16,4</w:t>
      </w:r>
      <w:r w:rsidRPr="000B4232">
        <w:rPr>
          <w:rFonts w:ascii="Arial" w:eastAsia="Arial Unicode MS" w:hAnsi="Arial" w:cs="Arial"/>
          <w:kern w:val="2"/>
          <w:sz w:val="18"/>
          <w:szCs w:val="18"/>
          <w:lang w:eastAsia="ar-SA"/>
        </w:rPr>
        <w:t xml:space="preserve"> mln euro (</w:t>
      </w:r>
      <w:r>
        <w:rPr>
          <w:rFonts w:ascii="Arial" w:eastAsia="Arial Unicode MS" w:hAnsi="Arial" w:cs="Arial"/>
          <w:kern w:val="2"/>
          <w:sz w:val="18"/>
          <w:szCs w:val="18"/>
          <w:lang w:eastAsia="ar-SA"/>
        </w:rPr>
        <w:t>12,78</w:t>
      </w:r>
      <w:r w:rsidRPr="000B4232">
        <w:rPr>
          <w:rFonts w:ascii="Arial" w:eastAsia="Arial Unicode MS" w:hAnsi="Arial" w:cs="Arial"/>
          <w:kern w:val="2"/>
          <w:sz w:val="18"/>
          <w:szCs w:val="18"/>
          <w:lang w:eastAsia="ar-SA"/>
        </w:rPr>
        <w:t>% alokacji),</w:t>
      </w:r>
    </w:p>
    <w:p w:rsidR="000B4232" w:rsidRDefault="000B4232" w:rsidP="002635FD">
      <w:pPr>
        <w:pStyle w:val="Akapitzlist"/>
        <w:numPr>
          <w:ilvl w:val="0"/>
          <w:numId w:val="31"/>
        </w:numPr>
        <w:suppressAutoHyphens/>
        <w:spacing w:before="120" w:after="120" w:line="360" w:lineRule="auto"/>
        <w:jc w:val="both"/>
        <w:rPr>
          <w:rFonts w:ascii="Arial" w:eastAsia="Arial Unicode MS" w:hAnsi="Arial" w:cs="Arial"/>
          <w:kern w:val="2"/>
          <w:sz w:val="18"/>
          <w:szCs w:val="18"/>
          <w:lang w:eastAsia="ar-SA"/>
        </w:rPr>
      </w:pPr>
      <w:r>
        <w:rPr>
          <w:rFonts w:ascii="Arial" w:eastAsia="Arial Unicode MS" w:hAnsi="Arial" w:cs="Arial"/>
          <w:kern w:val="2"/>
          <w:sz w:val="18"/>
          <w:szCs w:val="18"/>
          <w:lang w:eastAsia="ar-SA"/>
        </w:rPr>
        <w:t xml:space="preserve">OP IX - </w:t>
      </w:r>
      <w:r w:rsidRPr="000B4232">
        <w:rPr>
          <w:rFonts w:ascii="Arial" w:eastAsia="Arial Unicode MS" w:hAnsi="Arial" w:cs="Arial"/>
          <w:kern w:val="2"/>
          <w:sz w:val="18"/>
          <w:szCs w:val="18"/>
          <w:lang w:eastAsia="ar-SA"/>
        </w:rPr>
        <w:t xml:space="preserve">wartość ogółem </w:t>
      </w:r>
      <w:r>
        <w:rPr>
          <w:rFonts w:ascii="Arial" w:eastAsia="Arial Unicode MS" w:hAnsi="Arial" w:cs="Arial"/>
          <w:kern w:val="2"/>
          <w:sz w:val="18"/>
          <w:szCs w:val="18"/>
          <w:lang w:eastAsia="ar-SA"/>
        </w:rPr>
        <w:t>0,7</w:t>
      </w:r>
      <w:r w:rsidRPr="000B4232">
        <w:rPr>
          <w:rFonts w:ascii="Arial" w:eastAsia="Arial Unicode MS" w:hAnsi="Arial" w:cs="Arial"/>
          <w:kern w:val="2"/>
          <w:sz w:val="18"/>
          <w:szCs w:val="18"/>
          <w:lang w:eastAsia="ar-SA"/>
        </w:rPr>
        <w:t xml:space="preserve"> mln euro, w tym dof. UE </w:t>
      </w:r>
      <w:r>
        <w:rPr>
          <w:rFonts w:ascii="Arial" w:eastAsia="Arial Unicode MS" w:hAnsi="Arial" w:cs="Arial"/>
          <w:kern w:val="2"/>
          <w:sz w:val="18"/>
          <w:szCs w:val="18"/>
          <w:lang w:eastAsia="ar-SA"/>
        </w:rPr>
        <w:t>0,5</w:t>
      </w:r>
      <w:r w:rsidRPr="000B4232">
        <w:rPr>
          <w:rFonts w:ascii="Arial" w:eastAsia="Arial Unicode MS" w:hAnsi="Arial" w:cs="Arial"/>
          <w:kern w:val="2"/>
          <w:sz w:val="18"/>
          <w:szCs w:val="18"/>
          <w:lang w:eastAsia="ar-SA"/>
        </w:rPr>
        <w:t xml:space="preserve"> mln euro (</w:t>
      </w:r>
      <w:r>
        <w:rPr>
          <w:rFonts w:ascii="Arial" w:eastAsia="Arial Unicode MS" w:hAnsi="Arial" w:cs="Arial"/>
          <w:kern w:val="2"/>
          <w:sz w:val="18"/>
          <w:szCs w:val="18"/>
          <w:lang w:eastAsia="ar-SA"/>
        </w:rPr>
        <w:t>0,31</w:t>
      </w:r>
      <w:r w:rsidRPr="000B4232">
        <w:rPr>
          <w:rFonts w:ascii="Arial" w:eastAsia="Arial Unicode MS" w:hAnsi="Arial" w:cs="Arial"/>
          <w:kern w:val="2"/>
          <w:sz w:val="18"/>
          <w:szCs w:val="18"/>
          <w:lang w:eastAsia="ar-SA"/>
        </w:rPr>
        <w:t>% alokacji),</w:t>
      </w:r>
    </w:p>
    <w:p w:rsidR="000B4232" w:rsidRDefault="000B4232" w:rsidP="002635FD">
      <w:pPr>
        <w:pStyle w:val="Akapitzlist"/>
        <w:numPr>
          <w:ilvl w:val="0"/>
          <w:numId w:val="31"/>
        </w:numPr>
        <w:suppressAutoHyphens/>
        <w:spacing w:before="120" w:after="120" w:line="360" w:lineRule="auto"/>
        <w:jc w:val="both"/>
        <w:rPr>
          <w:rFonts w:ascii="Arial" w:eastAsia="Arial Unicode MS" w:hAnsi="Arial" w:cs="Arial"/>
          <w:kern w:val="2"/>
          <w:sz w:val="18"/>
          <w:szCs w:val="18"/>
          <w:lang w:eastAsia="ar-SA"/>
        </w:rPr>
      </w:pPr>
      <w:r>
        <w:rPr>
          <w:rFonts w:ascii="Arial" w:eastAsia="Arial Unicode MS" w:hAnsi="Arial" w:cs="Arial"/>
          <w:kern w:val="2"/>
          <w:sz w:val="18"/>
          <w:szCs w:val="18"/>
          <w:lang w:eastAsia="ar-SA"/>
        </w:rPr>
        <w:t xml:space="preserve">OP X - </w:t>
      </w:r>
      <w:r w:rsidRPr="000B4232">
        <w:rPr>
          <w:rFonts w:ascii="Arial" w:eastAsia="Arial Unicode MS" w:hAnsi="Arial" w:cs="Arial"/>
          <w:kern w:val="2"/>
          <w:sz w:val="18"/>
          <w:szCs w:val="18"/>
          <w:lang w:eastAsia="ar-SA"/>
        </w:rPr>
        <w:t xml:space="preserve">wartość ogółem </w:t>
      </w:r>
      <w:r>
        <w:rPr>
          <w:rFonts w:ascii="Arial" w:eastAsia="Arial Unicode MS" w:hAnsi="Arial" w:cs="Arial"/>
          <w:kern w:val="2"/>
          <w:sz w:val="18"/>
          <w:szCs w:val="18"/>
          <w:lang w:eastAsia="ar-SA"/>
        </w:rPr>
        <w:t>1,6</w:t>
      </w:r>
      <w:r w:rsidRPr="000B4232">
        <w:rPr>
          <w:rFonts w:ascii="Arial" w:eastAsia="Arial Unicode MS" w:hAnsi="Arial" w:cs="Arial"/>
          <w:kern w:val="2"/>
          <w:sz w:val="18"/>
          <w:szCs w:val="18"/>
          <w:lang w:eastAsia="ar-SA"/>
        </w:rPr>
        <w:t xml:space="preserve"> mln euro, w tym dof. UE </w:t>
      </w:r>
      <w:r>
        <w:rPr>
          <w:rFonts w:ascii="Arial" w:eastAsia="Arial Unicode MS" w:hAnsi="Arial" w:cs="Arial"/>
          <w:kern w:val="2"/>
          <w:sz w:val="18"/>
          <w:szCs w:val="18"/>
          <w:lang w:eastAsia="ar-SA"/>
        </w:rPr>
        <w:t>1,3</w:t>
      </w:r>
      <w:r w:rsidRPr="000B4232">
        <w:rPr>
          <w:rFonts w:ascii="Arial" w:eastAsia="Arial Unicode MS" w:hAnsi="Arial" w:cs="Arial"/>
          <w:kern w:val="2"/>
          <w:sz w:val="18"/>
          <w:szCs w:val="18"/>
          <w:lang w:eastAsia="ar-SA"/>
        </w:rPr>
        <w:t xml:space="preserve"> mln euro (</w:t>
      </w:r>
      <w:r>
        <w:rPr>
          <w:rFonts w:ascii="Arial" w:eastAsia="Arial Unicode MS" w:hAnsi="Arial" w:cs="Arial"/>
          <w:kern w:val="2"/>
          <w:sz w:val="18"/>
          <w:szCs w:val="18"/>
          <w:lang w:eastAsia="ar-SA"/>
        </w:rPr>
        <w:t>0,85</w:t>
      </w:r>
      <w:r w:rsidRPr="000B4232">
        <w:rPr>
          <w:rFonts w:ascii="Arial" w:eastAsia="Arial Unicode MS" w:hAnsi="Arial" w:cs="Arial"/>
          <w:kern w:val="2"/>
          <w:sz w:val="18"/>
          <w:szCs w:val="18"/>
          <w:lang w:eastAsia="ar-SA"/>
        </w:rPr>
        <w:t>% alokacji),</w:t>
      </w:r>
    </w:p>
    <w:p w:rsidR="000B4232" w:rsidRDefault="000B4232" w:rsidP="002635FD">
      <w:pPr>
        <w:pStyle w:val="Akapitzlist"/>
        <w:numPr>
          <w:ilvl w:val="0"/>
          <w:numId w:val="31"/>
        </w:numPr>
        <w:suppressAutoHyphens/>
        <w:spacing w:before="120" w:after="120" w:line="360" w:lineRule="auto"/>
        <w:jc w:val="both"/>
        <w:rPr>
          <w:rFonts w:ascii="Arial" w:eastAsia="Arial Unicode MS" w:hAnsi="Arial" w:cs="Arial"/>
          <w:kern w:val="2"/>
          <w:sz w:val="18"/>
          <w:szCs w:val="18"/>
          <w:lang w:eastAsia="ar-SA"/>
        </w:rPr>
      </w:pPr>
      <w:r>
        <w:rPr>
          <w:rFonts w:ascii="Arial" w:eastAsia="Arial Unicode MS" w:hAnsi="Arial" w:cs="Arial"/>
          <w:kern w:val="2"/>
          <w:sz w:val="18"/>
          <w:szCs w:val="18"/>
          <w:lang w:eastAsia="ar-SA"/>
        </w:rPr>
        <w:t xml:space="preserve">OP XI - </w:t>
      </w:r>
      <w:r w:rsidRPr="000B4232">
        <w:rPr>
          <w:rFonts w:ascii="Arial" w:eastAsia="Arial Unicode MS" w:hAnsi="Arial" w:cs="Arial"/>
          <w:kern w:val="2"/>
          <w:sz w:val="18"/>
          <w:szCs w:val="18"/>
          <w:lang w:eastAsia="ar-SA"/>
        </w:rPr>
        <w:t xml:space="preserve">wartość ogółem </w:t>
      </w:r>
      <w:r>
        <w:rPr>
          <w:rFonts w:ascii="Arial" w:eastAsia="Arial Unicode MS" w:hAnsi="Arial" w:cs="Arial"/>
          <w:kern w:val="2"/>
          <w:sz w:val="18"/>
          <w:szCs w:val="18"/>
          <w:lang w:eastAsia="ar-SA"/>
        </w:rPr>
        <w:t>6,3 mln euro, w tym dof. UE 5,1</w:t>
      </w:r>
      <w:r w:rsidRPr="000B4232">
        <w:rPr>
          <w:rFonts w:ascii="Arial" w:eastAsia="Arial Unicode MS" w:hAnsi="Arial" w:cs="Arial"/>
          <w:kern w:val="2"/>
          <w:sz w:val="18"/>
          <w:szCs w:val="18"/>
          <w:lang w:eastAsia="ar-SA"/>
        </w:rPr>
        <w:t xml:space="preserve"> mln euro (</w:t>
      </w:r>
      <w:r>
        <w:rPr>
          <w:rFonts w:ascii="Arial" w:eastAsia="Arial Unicode MS" w:hAnsi="Arial" w:cs="Arial"/>
          <w:kern w:val="2"/>
          <w:sz w:val="18"/>
          <w:szCs w:val="18"/>
          <w:lang w:eastAsia="ar-SA"/>
        </w:rPr>
        <w:t>6,96</w:t>
      </w:r>
      <w:r w:rsidRPr="000B4232">
        <w:rPr>
          <w:rFonts w:ascii="Arial" w:eastAsia="Arial Unicode MS" w:hAnsi="Arial" w:cs="Arial"/>
          <w:kern w:val="2"/>
          <w:sz w:val="18"/>
          <w:szCs w:val="18"/>
          <w:lang w:eastAsia="ar-SA"/>
        </w:rPr>
        <w:t>% alokacji),</w:t>
      </w:r>
    </w:p>
    <w:p w:rsidR="00AE5D1D" w:rsidRPr="00AE5D1D" w:rsidRDefault="00AE5D1D" w:rsidP="00AE5D1D">
      <w:pPr>
        <w:suppressAutoHyphens/>
        <w:spacing w:before="120" w:after="120" w:line="360" w:lineRule="auto"/>
        <w:jc w:val="both"/>
        <w:rPr>
          <w:rFonts w:ascii="Arial" w:eastAsia="Calibri" w:hAnsi="Arial" w:cs="Arial"/>
          <w:b/>
          <w:sz w:val="18"/>
          <w:szCs w:val="18"/>
        </w:rPr>
      </w:pPr>
      <w:r w:rsidRPr="00AE5D1D">
        <w:rPr>
          <w:rFonts w:ascii="Arial" w:eastAsia="Arial Unicode MS" w:hAnsi="Arial" w:cs="Arial"/>
          <w:kern w:val="2"/>
          <w:sz w:val="18"/>
          <w:szCs w:val="18"/>
          <w:lang w:eastAsia="ar-SA"/>
        </w:rPr>
        <w:t>W 2016 r. IC przekazała do KE pierwsze Wnioski o płatność o wartości dofinansowania środków unijnych ok. 37,1 mln euro, z czego EFRR wynosi ok. 15,1 mln euro (1,04% alokacji) oraz EFS ok. 22,0 mln euro (4,29% alokacji).</w:t>
      </w:r>
    </w:p>
    <w:p w:rsidR="00AE5D1D" w:rsidRPr="00AE5D1D" w:rsidRDefault="00AE5D1D" w:rsidP="00AE5D1D">
      <w:pPr>
        <w:suppressAutoHyphens/>
        <w:spacing w:before="120" w:after="120" w:line="360" w:lineRule="auto"/>
        <w:ind w:left="360"/>
        <w:jc w:val="both"/>
        <w:rPr>
          <w:rFonts w:ascii="Arial" w:eastAsia="Calibri" w:hAnsi="Arial" w:cs="Arial"/>
          <w:b/>
          <w:sz w:val="18"/>
          <w:szCs w:val="18"/>
        </w:rPr>
      </w:pPr>
    </w:p>
    <w:p w:rsidR="00981E98" w:rsidRPr="00981E98" w:rsidRDefault="00981E98" w:rsidP="00AE5D1D">
      <w:pPr>
        <w:pStyle w:val="Akapitzlist"/>
        <w:numPr>
          <w:ilvl w:val="0"/>
          <w:numId w:val="32"/>
        </w:numPr>
        <w:suppressAutoHyphens/>
        <w:spacing w:before="120" w:after="120" w:line="360" w:lineRule="auto"/>
        <w:jc w:val="both"/>
        <w:rPr>
          <w:rFonts w:ascii="Arial" w:eastAsia="Calibri" w:hAnsi="Arial" w:cs="Arial"/>
          <w:b/>
          <w:sz w:val="18"/>
          <w:szCs w:val="18"/>
        </w:rPr>
      </w:pPr>
      <w:r w:rsidRPr="00981E98">
        <w:rPr>
          <w:rFonts w:ascii="Arial" w:eastAsia="Calibri" w:hAnsi="Arial" w:cs="Arial"/>
          <w:b/>
          <w:sz w:val="18"/>
          <w:szCs w:val="18"/>
        </w:rPr>
        <w:t>Projekty w ramach instrumentów finansowych</w:t>
      </w:r>
    </w:p>
    <w:p w:rsidR="005426D4" w:rsidRDefault="00981E98" w:rsidP="00D1505B">
      <w:pPr>
        <w:suppressAutoHyphens/>
        <w:spacing w:before="120" w:after="120" w:line="360" w:lineRule="auto"/>
        <w:jc w:val="both"/>
        <w:rPr>
          <w:rFonts w:ascii="Arial" w:eastAsia="Calibri" w:hAnsi="Arial" w:cs="Arial"/>
          <w:sz w:val="18"/>
          <w:szCs w:val="18"/>
        </w:rPr>
      </w:pPr>
      <w:r w:rsidRPr="00FF7FAE">
        <w:rPr>
          <w:rFonts w:ascii="Arial" w:eastAsia="Calibri" w:hAnsi="Arial" w:cs="Arial"/>
          <w:sz w:val="18"/>
          <w:szCs w:val="18"/>
        </w:rPr>
        <w:t xml:space="preserve">Na dzień 31.12.2016 r. zostały podpisane 3 umowy o dofinansowanie projektów w ramach instrumentów finansowych z Europejskim Bankiem Inwestycyjnym na łączną wartość dofinansowania wynoszącą </w:t>
      </w:r>
      <w:r w:rsidR="00FF7FAE" w:rsidRPr="00FF7FAE">
        <w:rPr>
          <w:rFonts w:ascii="Arial" w:eastAsia="Calibri" w:hAnsi="Arial" w:cs="Arial"/>
          <w:sz w:val="18"/>
          <w:szCs w:val="18"/>
        </w:rPr>
        <w:t>52,5 mln euro</w:t>
      </w:r>
      <w:r w:rsidRPr="00FF7FAE">
        <w:rPr>
          <w:rFonts w:ascii="Arial" w:eastAsia="Calibri" w:hAnsi="Arial" w:cs="Arial"/>
          <w:sz w:val="18"/>
          <w:szCs w:val="18"/>
        </w:rPr>
        <w:t xml:space="preserve"> </w:t>
      </w:r>
      <w:r w:rsidRPr="00FF7FAE">
        <w:rPr>
          <w:rFonts w:ascii="Arial" w:eastAsia="Calibri" w:hAnsi="Arial" w:cs="Arial"/>
          <w:sz w:val="18"/>
          <w:szCs w:val="18"/>
        </w:rPr>
        <w:lastRenderedPageBreak/>
        <w:t xml:space="preserve">(działanie 4.1, 4.2 oraz 6.2). Na realizację projektów przekazane zostały środki w wysokości </w:t>
      </w:r>
      <w:r w:rsidR="00FF7FAE" w:rsidRPr="00FF7FAE">
        <w:rPr>
          <w:rFonts w:ascii="Arial" w:eastAsia="Calibri" w:hAnsi="Arial" w:cs="Arial"/>
          <w:sz w:val="18"/>
          <w:szCs w:val="18"/>
        </w:rPr>
        <w:t>13,1 mln euro</w:t>
      </w:r>
      <w:r w:rsidRPr="00FF7FAE">
        <w:rPr>
          <w:rFonts w:ascii="Arial" w:eastAsia="Calibri" w:hAnsi="Arial" w:cs="Arial"/>
          <w:sz w:val="18"/>
          <w:szCs w:val="18"/>
        </w:rPr>
        <w:t>, co stanowi 25,00 % wartości umów.</w:t>
      </w:r>
    </w:p>
    <w:p w:rsidR="00D86ECD" w:rsidRDefault="00D86ECD" w:rsidP="00D86ECD">
      <w:pPr>
        <w:suppressAutoHyphens/>
        <w:spacing w:before="120" w:after="0" w:line="360" w:lineRule="auto"/>
        <w:ind w:firstLine="709"/>
        <w:jc w:val="both"/>
        <w:rPr>
          <w:rFonts w:ascii="Arial" w:eastAsia="Arial Unicode MS" w:hAnsi="Arial" w:cs="Arial"/>
          <w:kern w:val="2"/>
          <w:sz w:val="18"/>
          <w:szCs w:val="18"/>
          <w:lang w:eastAsia="ar-SA"/>
        </w:rPr>
      </w:pPr>
      <w:r w:rsidRPr="00D86ECD">
        <w:rPr>
          <w:rFonts w:ascii="Arial" w:eastAsia="Arial Unicode MS" w:hAnsi="Arial" w:cs="Arial"/>
          <w:kern w:val="2"/>
          <w:sz w:val="18"/>
          <w:szCs w:val="18"/>
          <w:lang w:eastAsia="ar-SA"/>
        </w:rPr>
        <w:t>Od początku realizacji RPO WM na lata 2014-2020 w trybie konkursowym w ramach ZIT ogłoszono 6 naborów na łączną kwotę dofinansowania 83,3 mln euro, z czego wartość środków wspólnotowych wyniosła 82,6 mln euro. W ramach EFRR i EFS ogłoszono po 3 nabory odpowiednio na łączną kwotę dofinansowania UE 74,6 mln euro oraz 8,1 mln euro. Dla Poddziałań 2.1.2 oraz 3.2.1 w Szczegółowym Opisie Osi Priorytetowych w ramach RPO WM na lata 2014-2020 zidentyfikowano dwa projekty pozakonkursowe o łącznej szacowanej wartości dofinansowania UE 18,2 mln euro, do których nie złożono wniosków o dofinansowanie. Głównym założeniem zidentyfikowanych projektów jest promocja gospodarcza regionu w ramach ZIT oraz realizowanie zadań dot. e-usług dla Mazowsza w ramach ZIT. Łączne zaangażowanie dla projektów ogłoszonych w trybie konkursowym oraz zidentyfikowanych projektów pozakonkursowych wyniosło 100,9 mln euro, co stanowi 64,83% alokacji (bez RW), przeznaczonej na finansowanie projektów realizowanych w ramach ZIT.</w:t>
      </w:r>
    </w:p>
    <w:p w:rsidR="00D86ECD" w:rsidRPr="00D1505B" w:rsidRDefault="00D86ECD" w:rsidP="00D86ECD">
      <w:pPr>
        <w:suppressAutoHyphens/>
        <w:spacing w:after="120" w:line="360" w:lineRule="auto"/>
        <w:jc w:val="both"/>
        <w:rPr>
          <w:rFonts w:ascii="Arial" w:eastAsia="Arial Unicode MS" w:hAnsi="Arial" w:cs="Arial"/>
          <w:kern w:val="2"/>
          <w:sz w:val="18"/>
          <w:szCs w:val="18"/>
          <w:lang w:eastAsia="ar-SA"/>
        </w:rPr>
      </w:pPr>
      <w:r w:rsidRPr="00D86ECD">
        <w:rPr>
          <w:rFonts w:ascii="Arial" w:eastAsia="Arial Unicode MS" w:hAnsi="Arial" w:cs="Arial"/>
          <w:kern w:val="2"/>
          <w:sz w:val="18"/>
          <w:szCs w:val="18"/>
          <w:lang w:eastAsia="ar-SA"/>
        </w:rPr>
        <w:t>Do końca 2016 r. w ramach RIT ogłoszono 9 konkursów na łączną kwotę dofinan</w:t>
      </w:r>
      <w:r>
        <w:rPr>
          <w:rFonts w:ascii="Arial" w:eastAsia="Arial Unicode MS" w:hAnsi="Arial" w:cs="Arial"/>
          <w:kern w:val="2"/>
          <w:sz w:val="18"/>
          <w:szCs w:val="18"/>
          <w:lang w:eastAsia="ar-SA"/>
        </w:rPr>
        <w:t>sowania 180,5 mln euro. W </w:t>
      </w:r>
      <w:r w:rsidRPr="00D86ECD">
        <w:rPr>
          <w:rFonts w:ascii="Arial" w:eastAsia="Arial Unicode MS" w:hAnsi="Arial" w:cs="Arial"/>
          <w:kern w:val="2"/>
          <w:sz w:val="18"/>
          <w:szCs w:val="18"/>
          <w:lang w:eastAsia="ar-SA"/>
        </w:rPr>
        <w:t xml:space="preserve">odpowiedzi na konkursy beneficjenci złożyli 62 wnioski o dofinansowanie </w:t>
      </w:r>
      <w:r>
        <w:rPr>
          <w:rFonts w:ascii="Arial" w:eastAsia="Arial Unicode MS" w:hAnsi="Arial" w:cs="Arial"/>
          <w:kern w:val="2"/>
          <w:sz w:val="18"/>
          <w:szCs w:val="18"/>
          <w:lang w:eastAsia="ar-SA"/>
        </w:rPr>
        <w:t>na kwotę EFRR 175,4 mln euro, z </w:t>
      </w:r>
      <w:r w:rsidRPr="00D86ECD">
        <w:rPr>
          <w:rFonts w:ascii="Arial" w:eastAsia="Arial Unicode MS" w:hAnsi="Arial" w:cs="Arial"/>
          <w:kern w:val="2"/>
          <w:sz w:val="18"/>
          <w:szCs w:val="18"/>
          <w:lang w:eastAsia="ar-SA"/>
        </w:rPr>
        <w:t>czego do realizacji zatwierdzono 12 wniosków o wartości dofinansowania 50,7 mln euro.</w:t>
      </w:r>
    </w:p>
    <w:p w:rsidR="00D1505B" w:rsidRDefault="00D1505B" w:rsidP="00DA70B8">
      <w:pPr>
        <w:tabs>
          <w:tab w:val="num" w:pos="567"/>
        </w:tabs>
        <w:spacing w:after="0" w:line="360" w:lineRule="auto"/>
        <w:jc w:val="both"/>
        <w:rPr>
          <w:rFonts w:ascii="Arial" w:hAnsi="Arial" w:cs="Arial"/>
          <w:sz w:val="18"/>
          <w:szCs w:val="18"/>
        </w:rPr>
      </w:pPr>
    </w:p>
    <w:p w:rsidR="00667579" w:rsidRDefault="00667579" w:rsidP="00DA70B8">
      <w:pPr>
        <w:tabs>
          <w:tab w:val="num" w:pos="567"/>
        </w:tabs>
        <w:spacing w:after="0" w:line="360" w:lineRule="auto"/>
        <w:jc w:val="both"/>
        <w:rPr>
          <w:rFonts w:ascii="Arial" w:hAnsi="Arial" w:cs="Arial"/>
          <w:sz w:val="18"/>
          <w:szCs w:val="18"/>
        </w:rPr>
      </w:pPr>
      <w:r w:rsidRPr="00667579">
        <w:rPr>
          <w:rFonts w:ascii="Arial" w:hAnsi="Arial" w:cs="Arial"/>
          <w:sz w:val="18"/>
          <w:szCs w:val="18"/>
        </w:rPr>
        <w:t xml:space="preserve">Z analizy ogłoszonych naborów, wniosków zatwierdzonych do dofinansowania oraz z podpisanych umów </w:t>
      </w:r>
      <w:r w:rsidR="002635FD" w:rsidRPr="002635FD">
        <w:rPr>
          <w:rFonts w:ascii="Arial" w:hAnsi="Arial" w:cs="Arial"/>
          <w:sz w:val="18"/>
          <w:szCs w:val="18"/>
        </w:rPr>
        <w:t>zidentyfikowano zagrożenie realizacji wskaźnik</w:t>
      </w:r>
      <w:r w:rsidR="002635FD">
        <w:rPr>
          <w:rFonts w:ascii="Arial" w:hAnsi="Arial" w:cs="Arial"/>
          <w:sz w:val="18"/>
          <w:szCs w:val="18"/>
        </w:rPr>
        <w:t>ów</w:t>
      </w:r>
      <w:r w:rsidR="002635FD" w:rsidRPr="002635FD">
        <w:rPr>
          <w:rFonts w:ascii="Arial" w:hAnsi="Arial" w:cs="Arial"/>
          <w:sz w:val="18"/>
          <w:szCs w:val="18"/>
        </w:rPr>
        <w:t xml:space="preserve"> </w:t>
      </w:r>
      <w:r w:rsidR="002635FD">
        <w:rPr>
          <w:rFonts w:ascii="Arial" w:hAnsi="Arial" w:cs="Arial"/>
          <w:sz w:val="18"/>
          <w:szCs w:val="18"/>
        </w:rPr>
        <w:t>celów pośrednich w ramach następujących Osi Priorytetowych:</w:t>
      </w:r>
    </w:p>
    <w:p w:rsidR="002635FD" w:rsidRDefault="002635FD" w:rsidP="002635FD">
      <w:pPr>
        <w:pStyle w:val="Akapitzlist"/>
        <w:numPr>
          <w:ilvl w:val="0"/>
          <w:numId w:val="33"/>
        </w:numPr>
        <w:spacing w:after="0" w:line="360" w:lineRule="auto"/>
        <w:jc w:val="both"/>
        <w:rPr>
          <w:rFonts w:ascii="Arial" w:hAnsi="Arial" w:cs="Arial"/>
          <w:sz w:val="18"/>
          <w:szCs w:val="18"/>
        </w:rPr>
      </w:pPr>
      <w:r w:rsidRPr="002635FD">
        <w:rPr>
          <w:rFonts w:ascii="Arial" w:hAnsi="Arial" w:cs="Arial"/>
          <w:sz w:val="18"/>
          <w:szCs w:val="18"/>
        </w:rPr>
        <w:t>OP III - brak dużego zainteresowana naborem RPMA.03.01.02-IP.01-14-023/16 dot. wsparcia prowadzenia i rozwoju działalności przedsiębiorstw poprzez udzielanie bonów na doradztwo, gdzie pierwotnie zaplanowano wsparcie 301 przedsiębiorstw na kwotę 5 mln euro, jednak wsparcie otrzyma 45 na kwotę 0,6 mln euro. Ponadto zgodnie z założeniami ważnym elementem realizacji wskaźników ram wykonania było uruchomienie wsparcia za pomocą instrumentów zwrotnych. W wyniku zmian legislacyjnych uruchomienie środków w terminie</w:t>
      </w:r>
      <w:r w:rsidR="00AE5D1D">
        <w:rPr>
          <w:rFonts w:ascii="Arial" w:hAnsi="Arial" w:cs="Arial"/>
          <w:sz w:val="18"/>
          <w:szCs w:val="18"/>
        </w:rPr>
        <w:t xml:space="preserve"> umożliwiającym realizację</w:t>
      </w:r>
      <w:r w:rsidRPr="002635FD">
        <w:rPr>
          <w:rFonts w:ascii="Arial" w:hAnsi="Arial" w:cs="Arial"/>
          <w:sz w:val="18"/>
          <w:szCs w:val="18"/>
        </w:rPr>
        <w:t xml:space="preserve"> ram prawdopodobnie nie będzie możliwe. IZ podejmuje szereg działań zmierzających do reali</w:t>
      </w:r>
      <w:r>
        <w:rPr>
          <w:rFonts w:ascii="Arial" w:hAnsi="Arial" w:cs="Arial"/>
          <w:sz w:val="18"/>
          <w:szCs w:val="18"/>
        </w:rPr>
        <w:t>zacji wymaganych wartości ram w </w:t>
      </w:r>
      <w:r w:rsidRPr="002635FD">
        <w:rPr>
          <w:rFonts w:ascii="Arial" w:hAnsi="Arial" w:cs="Arial"/>
          <w:sz w:val="18"/>
          <w:szCs w:val="18"/>
        </w:rPr>
        <w:t>inny sposób niż założono pierwotnie,</w:t>
      </w:r>
    </w:p>
    <w:p w:rsidR="002635FD" w:rsidRPr="002635FD" w:rsidRDefault="002635FD" w:rsidP="002635FD">
      <w:pPr>
        <w:pStyle w:val="Akapitzlist"/>
        <w:numPr>
          <w:ilvl w:val="0"/>
          <w:numId w:val="33"/>
        </w:numPr>
        <w:spacing w:after="0" w:line="360" w:lineRule="auto"/>
        <w:jc w:val="both"/>
        <w:rPr>
          <w:rFonts w:ascii="Arial" w:hAnsi="Arial" w:cs="Arial"/>
          <w:sz w:val="18"/>
          <w:szCs w:val="18"/>
        </w:rPr>
      </w:pPr>
      <w:r w:rsidRPr="002635FD">
        <w:rPr>
          <w:rFonts w:ascii="Arial" w:hAnsi="Arial" w:cs="Arial"/>
          <w:sz w:val="18"/>
          <w:szCs w:val="18"/>
        </w:rPr>
        <w:t>OP V</w:t>
      </w:r>
      <w:r>
        <w:rPr>
          <w:rFonts w:ascii="Arial" w:hAnsi="Arial" w:cs="Arial"/>
          <w:sz w:val="18"/>
          <w:szCs w:val="18"/>
        </w:rPr>
        <w:t xml:space="preserve"> – zagrożenie dotyczy </w:t>
      </w:r>
      <w:r w:rsidRPr="002635FD">
        <w:rPr>
          <w:rFonts w:ascii="Arial" w:hAnsi="Arial" w:cs="Arial"/>
          <w:sz w:val="18"/>
          <w:szCs w:val="18"/>
        </w:rPr>
        <w:t>wskaźników celów pośrednich dot. wsparcia PSZOK. Pomimo zakończenia naboru dedykowanego ww. inwestycjom brak jest m</w:t>
      </w:r>
      <w:r w:rsidR="00AE5D1D">
        <w:rPr>
          <w:rFonts w:ascii="Arial" w:hAnsi="Arial" w:cs="Arial"/>
          <w:sz w:val="18"/>
          <w:szCs w:val="18"/>
        </w:rPr>
        <w:t>ożliwości podpisania umów o dofinansowanie z </w:t>
      </w:r>
      <w:r w:rsidRPr="002635FD">
        <w:rPr>
          <w:rFonts w:ascii="Arial" w:hAnsi="Arial" w:cs="Arial"/>
          <w:sz w:val="18"/>
          <w:szCs w:val="18"/>
        </w:rPr>
        <w:t>uwagi na uchylenie uchwały zatwierdzającej PGO WM,</w:t>
      </w:r>
    </w:p>
    <w:p w:rsidR="002635FD" w:rsidRPr="002635FD" w:rsidRDefault="002635FD" w:rsidP="002635FD">
      <w:pPr>
        <w:pStyle w:val="Akapitzlist"/>
        <w:numPr>
          <w:ilvl w:val="0"/>
          <w:numId w:val="33"/>
        </w:numPr>
        <w:spacing w:after="0" w:line="360" w:lineRule="auto"/>
        <w:jc w:val="both"/>
        <w:rPr>
          <w:rFonts w:ascii="Arial" w:hAnsi="Arial" w:cs="Arial"/>
          <w:sz w:val="18"/>
          <w:szCs w:val="18"/>
        </w:rPr>
      </w:pPr>
      <w:r w:rsidRPr="002635FD">
        <w:rPr>
          <w:rFonts w:ascii="Arial" w:hAnsi="Arial" w:cs="Arial"/>
          <w:sz w:val="18"/>
          <w:szCs w:val="18"/>
        </w:rPr>
        <w:t>OP IX - niewystarczające zainteresowanie beneficjentów aplikowaniem o środki oraz niska jakość składanych projektów. Dokonano analizy przyczyn negatywnej oceny wniosków (analiza treści kryteriów, które sprawiały najwięcej trudności i były przyczyną odrzucenia wniosków) w celu przygotowania do powtórzenia tych naborów. Przeprowadzono ankietę wśród OPS, w celu zdobycia informacji na temat barier w realizacji przedsięwzięć współfinansowanych w ramach EFS i poznanie oczekiwań w tym zakresie. Zaplanowano dodatkowe działania informacyjno-promocyjne i szkoleniowe. Planuje się powtórzenie naborów w op</w:t>
      </w:r>
      <w:r w:rsidR="00AE5D1D">
        <w:rPr>
          <w:rFonts w:ascii="Arial" w:hAnsi="Arial" w:cs="Arial"/>
          <w:sz w:val="18"/>
          <w:szCs w:val="18"/>
        </w:rPr>
        <w:t>arciu o zaktualizowane kryteria,</w:t>
      </w:r>
    </w:p>
    <w:p w:rsidR="002635FD" w:rsidRPr="002635FD" w:rsidRDefault="002635FD" w:rsidP="002635FD">
      <w:pPr>
        <w:pStyle w:val="Akapitzlist"/>
        <w:numPr>
          <w:ilvl w:val="0"/>
          <w:numId w:val="33"/>
        </w:numPr>
        <w:spacing w:after="0" w:line="360" w:lineRule="auto"/>
        <w:jc w:val="both"/>
        <w:rPr>
          <w:rFonts w:ascii="Arial" w:hAnsi="Arial" w:cs="Arial"/>
          <w:sz w:val="18"/>
          <w:szCs w:val="18"/>
        </w:rPr>
      </w:pPr>
      <w:r w:rsidRPr="002635FD">
        <w:rPr>
          <w:rFonts w:ascii="Arial" w:hAnsi="Arial" w:cs="Arial"/>
          <w:sz w:val="18"/>
          <w:szCs w:val="18"/>
        </w:rPr>
        <w:t>OP X - największe zagrożenie nieosiągnięcia założonych celów jest dla konkursów dot. doskonalenia zawodowego uczniów, doradztwa edukacyjno-zawodowego o</w:t>
      </w:r>
      <w:r w:rsidR="00B47E6C">
        <w:rPr>
          <w:rFonts w:ascii="Arial" w:hAnsi="Arial" w:cs="Arial"/>
          <w:sz w:val="18"/>
          <w:szCs w:val="18"/>
        </w:rPr>
        <w:t>raz doskonalenie umiejętności i </w:t>
      </w:r>
      <w:r w:rsidRPr="002635FD">
        <w:rPr>
          <w:rFonts w:ascii="Arial" w:hAnsi="Arial" w:cs="Arial"/>
          <w:sz w:val="18"/>
          <w:szCs w:val="18"/>
        </w:rPr>
        <w:t>kompetencji zawodowych nauczycieli zawodu i instruktorów praktycznej nauki zawodu, które nie cieszą się zainteresowaniem. Wynika to m.in. z braku wiedzy wśród organów prowadzących i szkół na temat specyfiki wsparcia. Szkoły nie zgłaszają chęci uczestniczenia w projektach. W przeprowadzonej przez IZ ankiecie badającej przyczyny takiej sytuacji, powiaty wskazują również na braki kadrowe oraz brak doświadczenia, motywacji dla aplikowania o wsparcie, możliwości zabezpieczenia wkładu własnego lub możliwości kontynuacji rozpoczętych w ramach projektu działań. W maju 2017 r. ogłoszony zostanie konkurs w formule "kompleksowej", zakładającej objęcie w projektach wszystkich typów operacji przewidzianych w ramach Poddziałania 10.3.1. Taka forma zmniejszy obciążenie wnioskodawców procedurami aplikacyjnymi.</w:t>
      </w:r>
    </w:p>
    <w:p w:rsidR="00FE063B" w:rsidRDefault="00FE063B" w:rsidP="00DA70B8">
      <w:pPr>
        <w:tabs>
          <w:tab w:val="num" w:pos="567"/>
        </w:tabs>
        <w:spacing w:after="0" w:line="360" w:lineRule="auto"/>
        <w:jc w:val="both"/>
        <w:rPr>
          <w:rFonts w:ascii="Arial" w:hAnsi="Arial" w:cs="Arial"/>
          <w:sz w:val="18"/>
          <w:szCs w:val="18"/>
        </w:rPr>
      </w:pPr>
    </w:p>
    <w:p w:rsidR="006E1C3C" w:rsidRPr="00CA65BA" w:rsidRDefault="006E1C3C" w:rsidP="006E1C3C">
      <w:pPr>
        <w:tabs>
          <w:tab w:val="num" w:pos="567"/>
        </w:tabs>
        <w:spacing w:after="0" w:line="360" w:lineRule="auto"/>
        <w:jc w:val="both"/>
        <w:rPr>
          <w:rFonts w:ascii="Arial" w:hAnsi="Arial" w:cs="Arial"/>
          <w:sz w:val="18"/>
          <w:szCs w:val="18"/>
        </w:rPr>
      </w:pPr>
      <w:r>
        <w:rPr>
          <w:rFonts w:ascii="Arial" w:hAnsi="Arial" w:cs="Arial"/>
          <w:color w:val="00B050"/>
          <w:sz w:val="18"/>
          <w:szCs w:val="18"/>
        </w:rPr>
        <w:tab/>
      </w:r>
      <w:r w:rsidRPr="00CA65BA">
        <w:rPr>
          <w:rFonts w:ascii="Arial" w:hAnsi="Arial" w:cs="Arial"/>
          <w:sz w:val="18"/>
          <w:szCs w:val="18"/>
        </w:rPr>
        <w:t>Jeśli chodzi o kwestie mające wpływ na wykonanie programu i podjęte działania to:</w:t>
      </w:r>
    </w:p>
    <w:p w:rsidR="006E1C3C" w:rsidRPr="00CA65BA" w:rsidRDefault="006E1C3C" w:rsidP="00877332">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eastAsia="ar-SA"/>
        </w:rPr>
      </w:pPr>
      <w:r w:rsidRPr="00CA65BA">
        <w:rPr>
          <w:rFonts w:ascii="Arial" w:hAnsi="Arial" w:cs="Arial"/>
          <w:sz w:val="18"/>
          <w:szCs w:val="18"/>
        </w:rPr>
        <w:t xml:space="preserve">Brak jest </w:t>
      </w:r>
      <w:r w:rsidRPr="00CA65BA">
        <w:rPr>
          <w:rFonts w:ascii="Arial" w:eastAsia="Arial Unicode MS" w:hAnsi="Arial" w:cs="Arial"/>
          <w:kern w:val="2"/>
          <w:sz w:val="18"/>
          <w:szCs w:val="18"/>
          <w:lang w:eastAsia="ar-SA"/>
        </w:rPr>
        <w:t>ostatecznych rozwiązań prawnych dotyczących potwierdzania kwalifikacji w proje</w:t>
      </w:r>
      <w:r w:rsidR="00877332">
        <w:rPr>
          <w:rFonts w:ascii="Arial" w:eastAsia="Arial Unicode MS" w:hAnsi="Arial" w:cs="Arial"/>
          <w:kern w:val="2"/>
          <w:sz w:val="18"/>
          <w:szCs w:val="18"/>
          <w:lang w:eastAsia="ar-SA"/>
        </w:rPr>
        <w:t>ktach współfinansowanych z EFS,</w:t>
      </w:r>
    </w:p>
    <w:p w:rsidR="006E1C3C" w:rsidRPr="00CA65BA" w:rsidRDefault="006E1C3C" w:rsidP="00877332">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eastAsia="ar-SA"/>
        </w:rPr>
      </w:pPr>
      <w:r w:rsidRPr="00CA65BA">
        <w:rPr>
          <w:rFonts w:ascii="Arial" w:eastAsia="Arial Unicode MS" w:hAnsi="Arial" w:cs="Arial"/>
          <w:kern w:val="2"/>
          <w:sz w:val="18"/>
          <w:szCs w:val="18"/>
          <w:lang w:eastAsia="ar-SA"/>
        </w:rPr>
        <w:t>Cofnięcie akredytacji Ośrodkom Wsparcia Ekonomii Społecznej przez Ministra Rodziny, Pracy i Polityki Społecznej –w ramach Działania 9.3, co skutkowało koniecznością modyfikacji kryteriów wyboru projektów dla konkursu w lutym 2016 r. co spowodowało, iż podpisanie umów zostało odroczone do czasu uzyskani</w:t>
      </w:r>
      <w:r w:rsidR="00877332">
        <w:rPr>
          <w:rFonts w:ascii="Arial" w:eastAsia="Arial Unicode MS" w:hAnsi="Arial" w:cs="Arial"/>
          <w:kern w:val="2"/>
          <w:sz w:val="18"/>
          <w:szCs w:val="18"/>
          <w:lang w:eastAsia="ar-SA"/>
        </w:rPr>
        <w:t>a przez OWES nowej akredytacji,</w:t>
      </w:r>
    </w:p>
    <w:p w:rsidR="006E1C3C" w:rsidRPr="00CA65BA" w:rsidRDefault="006E1C3C" w:rsidP="00877332">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eastAsia="ar-SA"/>
        </w:rPr>
      </w:pPr>
      <w:r w:rsidRPr="00CA65BA">
        <w:rPr>
          <w:rFonts w:ascii="Arial" w:eastAsia="Arial Unicode MS" w:hAnsi="Arial" w:cs="Arial"/>
          <w:kern w:val="2"/>
          <w:sz w:val="18"/>
          <w:szCs w:val="18"/>
          <w:lang w:eastAsia="ar-SA"/>
        </w:rPr>
        <w:t>Realizacja programów rządowych stanowiących konkurencyjne wsparcie dla działań w ramach RPO WM 2014-2020: Program „Asystent rodziny i koordynator pieczy zastępczej” i II edycja – „Programu Asystent rodziny na rok 2016” dla gmin i powiatów – konkurencyjne dla Działania 9.1; Program Wieloletni „Senior – WIGOR” na lata 2015-2020 dla jst oraz Rządowy Program na rzecz Aktywności Społecznej Osób Starszych na lata 2014-2020 – edycja 2016 (ASOS 2014-2020) –ko</w:t>
      </w:r>
      <w:r w:rsidR="00877332">
        <w:rPr>
          <w:rFonts w:ascii="Arial" w:eastAsia="Arial Unicode MS" w:hAnsi="Arial" w:cs="Arial"/>
          <w:kern w:val="2"/>
          <w:sz w:val="18"/>
          <w:szCs w:val="18"/>
          <w:lang w:eastAsia="ar-SA"/>
        </w:rPr>
        <w:t>nkurencyjne dla Działania 9.2.1,</w:t>
      </w:r>
    </w:p>
    <w:p w:rsidR="006E1C3C" w:rsidRPr="00CA65BA" w:rsidRDefault="006E1C3C" w:rsidP="00877332">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eastAsia="ar-SA"/>
        </w:rPr>
      </w:pPr>
      <w:r w:rsidRPr="00CA65BA">
        <w:rPr>
          <w:rFonts w:ascii="Arial" w:eastAsia="Arial Unicode MS" w:hAnsi="Arial" w:cs="Arial"/>
          <w:kern w:val="2"/>
          <w:sz w:val="18"/>
          <w:szCs w:val="18"/>
          <w:lang w:eastAsia="ar-SA"/>
        </w:rPr>
        <w:t>Zmiany w nowelizowanej obecnie ustawie o systemie oświaty są przyczyną niepewności potencjalnych wnioskodawców dotyczącego ostatecznego sposobu funkcjonowania systemu oświaty po reformie. Skutkuje to mniejszym niż się spodziewano zainteresowaniem naborami w ramach OP X i w</w:t>
      </w:r>
      <w:r w:rsidR="00877332">
        <w:rPr>
          <w:rFonts w:ascii="Arial" w:eastAsia="Arial Unicode MS" w:hAnsi="Arial" w:cs="Arial"/>
          <w:kern w:val="2"/>
          <w:sz w:val="18"/>
          <w:szCs w:val="18"/>
          <w:lang w:eastAsia="ar-SA"/>
        </w:rPr>
        <w:t> </w:t>
      </w:r>
      <w:r w:rsidRPr="00CA65BA">
        <w:rPr>
          <w:rFonts w:ascii="Arial" w:eastAsia="Arial Unicode MS" w:hAnsi="Arial" w:cs="Arial"/>
          <w:kern w:val="2"/>
          <w:sz w:val="18"/>
          <w:szCs w:val="18"/>
          <w:lang w:eastAsia="ar-SA"/>
        </w:rPr>
        <w:t>konsekwencji niższą kontraktacją oraz niewystarczającym wykorzystaniem alokacji w naborach. Wątpliwości dotyczą kwestii zapewnienia trwałości inwestycji; braku aktualności diagnozy sytuacji szkoły realizującej projekt; kierowania wsparcia do szkół ze słabymi wynikami edukacyjnymi – po połączeniu szkół wyniki będą nieaktualne, itp. Konsekwencją może być nieosiągnięcie założonych wska</w:t>
      </w:r>
      <w:r w:rsidR="00AE5D1D">
        <w:rPr>
          <w:rFonts w:ascii="Arial" w:eastAsia="Arial Unicode MS" w:hAnsi="Arial" w:cs="Arial"/>
          <w:kern w:val="2"/>
          <w:sz w:val="18"/>
          <w:szCs w:val="18"/>
          <w:lang w:eastAsia="ar-SA"/>
        </w:rPr>
        <w:t>źników rzeczowych i finansowych,</w:t>
      </w:r>
    </w:p>
    <w:p w:rsidR="006E1C3C" w:rsidRPr="00CA65BA" w:rsidRDefault="006E1C3C" w:rsidP="00877332">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eastAsia="ar-SA"/>
        </w:rPr>
      </w:pPr>
      <w:r w:rsidRPr="00CA65BA">
        <w:rPr>
          <w:rFonts w:ascii="Arial" w:eastAsia="Arial Unicode MS" w:hAnsi="Arial" w:cs="Arial"/>
          <w:kern w:val="2"/>
          <w:sz w:val="18"/>
          <w:szCs w:val="18"/>
          <w:lang w:eastAsia="ar-SA"/>
        </w:rPr>
        <w:t>Niewielkie zainteresowanie naborami, co przekłada się na niski poziom wykorzystania alokacji,</w:t>
      </w:r>
    </w:p>
    <w:p w:rsidR="006E1C3C" w:rsidRDefault="006E1C3C" w:rsidP="00877332">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eastAsia="ar-SA"/>
        </w:rPr>
      </w:pPr>
      <w:r w:rsidRPr="00CA65BA">
        <w:rPr>
          <w:rFonts w:ascii="Arial" w:eastAsia="Arial Unicode MS" w:hAnsi="Arial" w:cs="Arial"/>
          <w:kern w:val="2"/>
          <w:sz w:val="18"/>
          <w:szCs w:val="18"/>
          <w:lang w:eastAsia="ar-SA"/>
        </w:rPr>
        <w:t>Składane projekty są niskiej jakości –co ma</w:t>
      </w:r>
      <w:r w:rsidRPr="00A878AE">
        <w:rPr>
          <w:rFonts w:ascii="Arial" w:eastAsia="Arial Unicode MS" w:hAnsi="Arial" w:cs="Arial"/>
          <w:kern w:val="2"/>
          <w:sz w:val="18"/>
          <w:szCs w:val="18"/>
          <w:lang w:eastAsia="ar-SA"/>
        </w:rPr>
        <w:t xml:space="preserve"> wpływ na niewielkie osiągnięcie wskaźników postępu rzeczowego i finansowego w ramach ww. priorytetów inwestycyjnych.</w:t>
      </w:r>
    </w:p>
    <w:p w:rsidR="006E1C3C" w:rsidRPr="00C710E9" w:rsidRDefault="00AE5D1D" w:rsidP="00AE5D1D">
      <w:pPr>
        <w:kinsoku w:val="0"/>
        <w:overflowPunct w:val="0"/>
        <w:spacing w:after="0" w:line="360" w:lineRule="auto"/>
        <w:jc w:val="both"/>
        <w:textAlignment w:val="baseline"/>
        <w:rPr>
          <w:rFonts w:ascii="Arial" w:eastAsia="Calibri" w:hAnsi="Arial" w:cs="Arial"/>
          <w:bCs/>
          <w:sz w:val="18"/>
          <w:szCs w:val="18"/>
        </w:rPr>
      </w:pPr>
      <w:r w:rsidRPr="00AE5D1D">
        <w:rPr>
          <w:rFonts w:ascii="Arial" w:eastAsia="Calibri" w:hAnsi="Arial" w:cs="Arial"/>
          <w:sz w:val="18"/>
          <w:szCs w:val="18"/>
        </w:rPr>
        <w:t xml:space="preserve">W zakresie Planu działań na rzecz zwiększenia efektywności i przyspieszenia realizacji programów w ramach Umowy Partnerstwa 2014-2020: monitorowany jest przez IZ RPO WM stan osiągnięcia wyznaczonych celów pośrednich i końcowych w cyklach miesięcznych, przyjęto kompletny Szczegółowy Opis Osi Priorytetowych dla RPO WM 2014 – 2020, przyjęto wszystkie ogólne kryteria wyboru projektów w RPO WM 2014-2020, zakończono tworzenie zaplanowanego systemu instytucjonalnego w RPO WM 2014-2020, zakończono proces desygnacji dla RPO WM 2014-2020, wdrożono system monitorowania projektów pozakonkursowych, </w:t>
      </w:r>
      <w:r w:rsidRPr="00AE5D1D">
        <w:rPr>
          <w:rFonts w:ascii="Arial" w:eastAsia="Calibri" w:hAnsi="Arial" w:cs="Arial"/>
          <w:bCs/>
          <w:sz w:val="18"/>
          <w:szCs w:val="18"/>
        </w:rPr>
        <w:t>zidentyfikowano wszystkie warunki, które muszą zostać spełnione, aby zapewnić odpowiedni poziom zaangażowania alokacji i realizacji wskaźników.</w:t>
      </w:r>
    </w:p>
    <w:p w:rsidR="006E1C3C" w:rsidRPr="00C710E9" w:rsidRDefault="006E1C3C" w:rsidP="006E1C3C">
      <w:pPr>
        <w:spacing w:after="0" w:line="360" w:lineRule="auto"/>
        <w:ind w:firstLine="360"/>
        <w:jc w:val="both"/>
        <w:rPr>
          <w:rFonts w:ascii="Arial" w:eastAsia="Calibri" w:hAnsi="Arial" w:cs="Arial"/>
          <w:sz w:val="18"/>
          <w:szCs w:val="18"/>
        </w:rPr>
      </w:pPr>
      <w:r w:rsidRPr="00C710E9">
        <w:rPr>
          <w:rFonts w:ascii="Arial" w:eastAsia="Calibri" w:hAnsi="Arial" w:cs="Arial"/>
          <w:sz w:val="18"/>
          <w:szCs w:val="18"/>
        </w:rPr>
        <w:t>W roku 2016 na zlecenie Samorządu Województwa rozpoczęto realizację dwóch badań ujętych w Planie Ewaluacji RPO WM na lata 2014-2020</w:t>
      </w:r>
      <w:r w:rsidR="00AE5D1D">
        <w:rPr>
          <w:rFonts w:ascii="Arial" w:eastAsia="Calibri" w:hAnsi="Arial" w:cs="Arial"/>
          <w:sz w:val="18"/>
          <w:szCs w:val="18"/>
        </w:rPr>
        <w:t>,</w:t>
      </w:r>
      <w:r w:rsidRPr="00C710E9">
        <w:rPr>
          <w:rFonts w:ascii="Arial" w:eastAsia="Calibri" w:hAnsi="Arial" w:cs="Arial"/>
          <w:sz w:val="18"/>
          <w:szCs w:val="18"/>
        </w:rPr>
        <w:t xml:space="preserve"> tj</w:t>
      </w:r>
      <w:r w:rsidR="00AE5D1D">
        <w:rPr>
          <w:rFonts w:ascii="Arial" w:eastAsia="Calibri" w:hAnsi="Arial" w:cs="Arial"/>
          <w:sz w:val="18"/>
          <w:szCs w:val="18"/>
        </w:rPr>
        <w:t>.</w:t>
      </w:r>
      <w:r w:rsidRPr="00C710E9">
        <w:rPr>
          <w:rFonts w:ascii="Arial" w:eastAsia="Calibri" w:hAnsi="Arial" w:cs="Arial"/>
          <w:sz w:val="18"/>
          <w:szCs w:val="18"/>
        </w:rPr>
        <w:t>:</w:t>
      </w:r>
    </w:p>
    <w:p w:rsidR="006E1C3C" w:rsidRPr="00C710E9" w:rsidRDefault="006E1C3C" w:rsidP="006E1C3C">
      <w:pPr>
        <w:numPr>
          <w:ilvl w:val="0"/>
          <w:numId w:val="34"/>
        </w:numPr>
        <w:spacing w:after="0" w:line="360" w:lineRule="auto"/>
        <w:contextualSpacing/>
        <w:jc w:val="both"/>
        <w:rPr>
          <w:rFonts w:ascii="Arial" w:eastAsia="Calibri" w:hAnsi="Arial" w:cs="Arial"/>
          <w:sz w:val="18"/>
          <w:szCs w:val="18"/>
        </w:rPr>
      </w:pPr>
      <w:r w:rsidRPr="00C710E9">
        <w:rPr>
          <w:rFonts w:ascii="Arial" w:eastAsia="Calibri" w:hAnsi="Arial" w:cs="Arial"/>
          <w:sz w:val="18"/>
          <w:szCs w:val="18"/>
        </w:rPr>
        <w:t>Badanie pn ,,</w:t>
      </w:r>
      <w:r w:rsidRPr="00C710E9">
        <w:rPr>
          <w:rFonts w:ascii="Arial" w:eastAsia="Calibri" w:hAnsi="Arial" w:cs="Arial"/>
          <w:i/>
          <w:iCs/>
          <w:sz w:val="18"/>
          <w:szCs w:val="18"/>
        </w:rPr>
        <w:t xml:space="preserve"> Ocena użyteczności agend badawczych w projektach badawczo-rozwojowych w ramach RPO WM 2014-2020”</w:t>
      </w:r>
    </w:p>
    <w:p w:rsidR="006E1C3C" w:rsidRPr="00C710E9" w:rsidRDefault="006E1C3C" w:rsidP="006E1C3C">
      <w:pPr>
        <w:spacing w:after="0" w:line="360" w:lineRule="auto"/>
        <w:jc w:val="both"/>
        <w:rPr>
          <w:rFonts w:ascii="Arial" w:eastAsia="Calibri" w:hAnsi="Arial" w:cs="Arial"/>
          <w:sz w:val="18"/>
          <w:szCs w:val="18"/>
        </w:rPr>
      </w:pPr>
      <w:r w:rsidRPr="00C710E9">
        <w:rPr>
          <w:rFonts w:ascii="Arial" w:eastAsia="Calibri" w:hAnsi="Arial" w:cs="Arial"/>
          <w:sz w:val="18"/>
          <w:szCs w:val="18"/>
        </w:rPr>
        <w:t>Ewaluacja była realizowana w związku z koniecznością skoncentrowania wsparcia na obszarach określonych inteligentną specjalizacją Mazowsza oraz ich doprecyzowaniach w formie priorytetowych kierunków badań (agend badawczych) sformułowanych w ramach procesu przedsiębiorczego odkrywania. Badanie umożliwi analizę użyteczności agend badawczych i kierunków wsparcia przyjętych w RPO WM 2014 – 2020 oraz ich efektywności pod kątem planowanej koncentracji wsparcia. Wyniki badania pozwolą na ukierunkowanie wsparcia dla przedsiębiorstw w ramach kolejnych planowanych konkursów.</w:t>
      </w:r>
    </w:p>
    <w:p w:rsidR="006E1C3C" w:rsidRPr="00C710E9" w:rsidRDefault="006E1C3C" w:rsidP="006E1C3C">
      <w:pPr>
        <w:numPr>
          <w:ilvl w:val="0"/>
          <w:numId w:val="34"/>
        </w:numPr>
        <w:spacing w:after="0" w:line="360" w:lineRule="auto"/>
        <w:contextualSpacing/>
        <w:jc w:val="both"/>
        <w:rPr>
          <w:rFonts w:ascii="Arial" w:eastAsia="Calibri" w:hAnsi="Arial" w:cs="Arial"/>
          <w:sz w:val="18"/>
          <w:szCs w:val="18"/>
        </w:rPr>
      </w:pPr>
      <w:r w:rsidRPr="00C710E9">
        <w:rPr>
          <w:rFonts w:ascii="Arial" w:eastAsia="Calibri" w:hAnsi="Arial" w:cs="Arial"/>
          <w:sz w:val="18"/>
          <w:szCs w:val="18"/>
        </w:rPr>
        <w:t>Badanie pn. ,,</w:t>
      </w:r>
      <w:r w:rsidRPr="00C710E9">
        <w:rPr>
          <w:rFonts w:ascii="Arial" w:eastAsia="Calibri" w:hAnsi="Arial" w:cs="Arial"/>
          <w:b/>
          <w:bCs/>
          <w:sz w:val="18"/>
          <w:szCs w:val="18"/>
        </w:rPr>
        <w:t xml:space="preserve"> </w:t>
      </w:r>
      <w:r w:rsidRPr="00C710E9">
        <w:rPr>
          <w:rFonts w:ascii="Arial" w:eastAsia="Calibri" w:hAnsi="Arial" w:cs="Arial"/>
          <w:i/>
          <w:iCs/>
          <w:sz w:val="18"/>
          <w:szCs w:val="18"/>
        </w:rPr>
        <w:t>Ewaluacja ex post realizacji RPO WM  2007-2013</w:t>
      </w:r>
      <w:r w:rsidRPr="00C710E9">
        <w:rPr>
          <w:rFonts w:ascii="Arial" w:eastAsia="Calibri" w:hAnsi="Arial" w:cs="Arial"/>
          <w:b/>
          <w:bCs/>
          <w:sz w:val="18"/>
          <w:szCs w:val="18"/>
        </w:rPr>
        <w:t xml:space="preserve">”. – </w:t>
      </w:r>
      <w:r w:rsidRPr="00C710E9">
        <w:rPr>
          <w:rFonts w:ascii="Arial" w:eastAsia="Calibri" w:hAnsi="Arial" w:cs="Arial"/>
          <w:sz w:val="18"/>
          <w:szCs w:val="18"/>
        </w:rPr>
        <w:t>umowa podpisana 20 grudnia 2016 r. na kwotę 206 640,00 (kwota brutto). Termin realizacji 21 tygodni.</w:t>
      </w:r>
    </w:p>
    <w:p w:rsidR="006E1C3C" w:rsidRPr="00C710E9" w:rsidRDefault="006E1C3C" w:rsidP="006E1C3C">
      <w:pPr>
        <w:spacing w:after="0" w:line="360" w:lineRule="auto"/>
        <w:jc w:val="both"/>
        <w:rPr>
          <w:rFonts w:ascii="Arial" w:eastAsia="Calibri" w:hAnsi="Arial" w:cs="Arial"/>
          <w:sz w:val="18"/>
          <w:szCs w:val="18"/>
        </w:rPr>
      </w:pPr>
      <w:r w:rsidRPr="00C710E9">
        <w:rPr>
          <w:rFonts w:ascii="Arial" w:eastAsia="Calibri" w:hAnsi="Arial" w:cs="Arial"/>
          <w:sz w:val="18"/>
          <w:szCs w:val="18"/>
        </w:rPr>
        <w:t>Celem ewaluacji ex post jest podsumowanie i ocena efektów wsparcia udzielonego ze środków RPO WM 2007-2013 głównie pod kątem określenia stopnia realizacji celu głównego i celów szczegółowych Programu.</w:t>
      </w:r>
    </w:p>
    <w:p w:rsidR="006E1C3C" w:rsidRPr="00C710E9" w:rsidRDefault="006E1C3C" w:rsidP="006E1C3C">
      <w:pPr>
        <w:spacing w:after="0" w:line="360" w:lineRule="auto"/>
        <w:jc w:val="both"/>
        <w:rPr>
          <w:rFonts w:ascii="Arial" w:eastAsia="Calibri" w:hAnsi="Arial" w:cs="Arial"/>
          <w:sz w:val="18"/>
          <w:szCs w:val="18"/>
        </w:rPr>
      </w:pPr>
      <w:r w:rsidRPr="00C710E9">
        <w:rPr>
          <w:rFonts w:ascii="Arial" w:eastAsia="Calibri" w:hAnsi="Arial" w:cs="Arial"/>
          <w:sz w:val="18"/>
          <w:szCs w:val="18"/>
        </w:rPr>
        <w:t>Badanie zgodnie z założeniami ujętymi w Rozporządzeniu Rady (WE) nr 1083/2006 z dnia 11 lipca 2006 r., które ustanawia przepisy ogólne dotyczące Europejskiego Funduszu Rozwoju Regionalnego, Europejskiego Funduszu Społecznego oraz Funduszu Spójności uchylające rozporządzenie (WE) nr 1260/1999 powinno objąć każdy z celów RPO WM 2007-2013. Należy przeanalizować stopień wykorzystania użytych zasobów, skuteczność oraz efektywność programowania funduszy, a także wpływ gospodarczy i społeczny zrealizowanych interwencji.</w:t>
      </w:r>
    </w:p>
    <w:p w:rsidR="006E1C3C" w:rsidRPr="00C710E9" w:rsidRDefault="006E1C3C" w:rsidP="006E1C3C">
      <w:pPr>
        <w:spacing w:after="0" w:line="360" w:lineRule="auto"/>
        <w:jc w:val="both"/>
        <w:rPr>
          <w:rFonts w:ascii="Arial" w:eastAsia="Calibri" w:hAnsi="Arial" w:cs="Arial"/>
          <w:sz w:val="18"/>
          <w:szCs w:val="18"/>
        </w:rPr>
      </w:pPr>
      <w:r w:rsidRPr="00C710E9">
        <w:rPr>
          <w:rFonts w:ascii="Arial" w:eastAsia="Calibri" w:hAnsi="Arial" w:cs="Arial"/>
          <w:sz w:val="18"/>
          <w:szCs w:val="18"/>
        </w:rPr>
        <w:t>Rekomendacje z badania zostaną wdrożone w ramach RPO WM na lata 2014-2020 mając na celu usprawnienie procesu wydatkowania środków unijnych.</w:t>
      </w:r>
    </w:p>
    <w:p w:rsidR="006E1C3C" w:rsidRPr="00C710E9" w:rsidRDefault="006E1C3C" w:rsidP="006E1C3C">
      <w:pPr>
        <w:spacing w:after="0" w:line="360" w:lineRule="auto"/>
        <w:jc w:val="both"/>
        <w:rPr>
          <w:rFonts w:ascii="Arial" w:eastAsia="Calibri" w:hAnsi="Arial" w:cs="Arial"/>
          <w:sz w:val="18"/>
          <w:szCs w:val="18"/>
        </w:rPr>
      </w:pPr>
      <w:r w:rsidRPr="00C710E9">
        <w:rPr>
          <w:rFonts w:ascii="Arial" w:eastAsia="Calibri" w:hAnsi="Arial" w:cs="Arial"/>
          <w:sz w:val="18"/>
          <w:szCs w:val="18"/>
        </w:rPr>
        <w:t xml:space="preserve">Wyniki prac zostaną opublikowane na ogólnodostępnej stronie internetowej </w:t>
      </w:r>
      <w:hyperlink r:id="rId9" w:history="1">
        <w:r w:rsidRPr="00C710E9">
          <w:rPr>
            <w:rFonts w:ascii="Arial" w:eastAsia="Calibri" w:hAnsi="Arial" w:cs="Arial"/>
            <w:sz w:val="18"/>
            <w:szCs w:val="18"/>
          </w:rPr>
          <w:t>www.funduszedlamazowsza.eu</w:t>
        </w:r>
      </w:hyperlink>
      <w:r w:rsidRPr="00C710E9">
        <w:rPr>
          <w:rFonts w:ascii="Arial" w:eastAsia="Calibri" w:hAnsi="Arial" w:cs="Arial"/>
          <w:sz w:val="18"/>
          <w:szCs w:val="18"/>
        </w:rPr>
        <w:t xml:space="preserve">. Realizacja zapisów Planu Ewaluacji RPO WM 2014-2020 przyjętego na posiedzeniu KM dnia 19 lutego 2016 r przebiega bez zakłóceń zaś wypracowane rekomendacje wdrażane są przez instytucje uczestniczące w dystrybucji środków unijnych. </w:t>
      </w:r>
    </w:p>
    <w:p w:rsidR="00877332" w:rsidRDefault="00877332" w:rsidP="00877332">
      <w:pPr>
        <w:tabs>
          <w:tab w:val="left" w:pos="709"/>
        </w:tabs>
        <w:spacing w:after="0" w:line="360" w:lineRule="auto"/>
        <w:jc w:val="both"/>
        <w:rPr>
          <w:rFonts w:ascii="Arial" w:eastAsia="Calibri" w:hAnsi="Arial" w:cs="Arial"/>
          <w:sz w:val="18"/>
          <w:szCs w:val="18"/>
          <w:lang w:eastAsia="ar-SA"/>
        </w:rPr>
      </w:pPr>
      <w:r>
        <w:rPr>
          <w:rFonts w:ascii="Arial" w:eastAsia="Times New Roman" w:hAnsi="Arial" w:cs="Arial"/>
          <w:bCs/>
          <w:kern w:val="32"/>
          <w:sz w:val="18"/>
          <w:szCs w:val="18"/>
        </w:rPr>
        <w:tab/>
      </w:r>
      <w:r w:rsidR="006E1C3C">
        <w:rPr>
          <w:rFonts w:ascii="Arial" w:eastAsia="Times New Roman" w:hAnsi="Arial" w:cs="Arial"/>
          <w:bCs/>
          <w:kern w:val="32"/>
          <w:sz w:val="18"/>
          <w:szCs w:val="18"/>
        </w:rPr>
        <w:t>Jeśli chodzi o kwestię dotyczącą równouprawnienia płci oraz zapobiegania dyskryminacji</w:t>
      </w:r>
      <w:r w:rsidR="006E1C3C">
        <w:rPr>
          <w:rFonts w:ascii="Arial" w:eastAsia="Calibri" w:hAnsi="Arial" w:cs="Arial"/>
          <w:sz w:val="18"/>
          <w:szCs w:val="18"/>
          <w:lang w:eastAsia="ar-SA"/>
        </w:rPr>
        <w:t xml:space="preserve">, to </w:t>
      </w:r>
      <w:r w:rsidR="006E1C3C" w:rsidRPr="00A878AE">
        <w:rPr>
          <w:rFonts w:ascii="Arial" w:eastAsia="Calibri" w:hAnsi="Arial" w:cs="Arial"/>
          <w:sz w:val="18"/>
          <w:szCs w:val="18"/>
          <w:lang w:eastAsia="ar-SA"/>
        </w:rPr>
        <w:t>IZ RPO WM na etapie wdrażania programu operacyjnego zgodnie ze stanowisk</w:t>
      </w:r>
      <w:r w:rsidR="006E1C3C">
        <w:rPr>
          <w:rFonts w:ascii="Arial" w:eastAsia="Calibri" w:hAnsi="Arial" w:cs="Arial"/>
          <w:sz w:val="18"/>
          <w:szCs w:val="18"/>
          <w:lang w:eastAsia="ar-SA"/>
        </w:rPr>
        <w:t xml:space="preserve">iem Ministerstwa Rozwoju oraz w </w:t>
      </w:r>
      <w:r w:rsidR="006E1C3C" w:rsidRPr="00A878AE">
        <w:rPr>
          <w:rFonts w:ascii="Arial" w:eastAsia="Calibri" w:hAnsi="Arial" w:cs="Arial"/>
          <w:sz w:val="18"/>
          <w:szCs w:val="18"/>
          <w:lang w:eastAsia="ar-SA"/>
        </w:rPr>
        <w:t>wyniku przeprowadzonych szkoleń dotyczących zasady równości szans i niedyskryminacji skierowanych do pracowników I</w:t>
      </w:r>
      <w:r w:rsidR="006E1C3C">
        <w:rPr>
          <w:rFonts w:ascii="Arial" w:eastAsia="Calibri" w:hAnsi="Arial" w:cs="Arial"/>
          <w:sz w:val="18"/>
          <w:szCs w:val="18"/>
          <w:lang w:eastAsia="ar-SA"/>
        </w:rPr>
        <w:t>Z RPO przeprowadziło szczegółową</w:t>
      </w:r>
      <w:r w:rsidR="006E1C3C" w:rsidRPr="00A878AE">
        <w:rPr>
          <w:rFonts w:ascii="Arial" w:eastAsia="Calibri" w:hAnsi="Arial" w:cs="Arial"/>
          <w:sz w:val="18"/>
          <w:szCs w:val="18"/>
          <w:lang w:eastAsia="ar-SA"/>
        </w:rPr>
        <w:t xml:space="preserve"> analizę problemu. </w:t>
      </w:r>
      <w:r w:rsidR="006E1C3C">
        <w:rPr>
          <w:rFonts w:ascii="Arial" w:eastAsia="Calibri" w:hAnsi="Arial" w:cs="Arial"/>
          <w:sz w:val="18"/>
          <w:szCs w:val="18"/>
          <w:lang w:eastAsia="ar-SA"/>
        </w:rPr>
        <w:t>Opracowano</w:t>
      </w:r>
      <w:r w:rsidR="006E1C3C" w:rsidRPr="00A878AE">
        <w:rPr>
          <w:rFonts w:ascii="Arial" w:eastAsia="Calibri" w:hAnsi="Arial" w:cs="Arial"/>
          <w:sz w:val="18"/>
          <w:szCs w:val="18"/>
          <w:lang w:eastAsia="ar-SA"/>
        </w:rPr>
        <w:t xml:space="preserve"> zapisy </w:t>
      </w:r>
      <w:r w:rsidR="006E1C3C">
        <w:rPr>
          <w:rFonts w:ascii="Arial" w:eastAsia="Calibri" w:hAnsi="Arial" w:cs="Arial"/>
          <w:sz w:val="18"/>
          <w:szCs w:val="18"/>
          <w:lang w:eastAsia="ar-SA"/>
        </w:rPr>
        <w:t>i umieszczono</w:t>
      </w:r>
      <w:r w:rsidR="006E1C3C" w:rsidRPr="00A878AE">
        <w:rPr>
          <w:rFonts w:ascii="Arial" w:eastAsia="Calibri" w:hAnsi="Arial" w:cs="Arial"/>
          <w:sz w:val="18"/>
          <w:szCs w:val="18"/>
          <w:lang w:eastAsia="ar-SA"/>
        </w:rPr>
        <w:t xml:space="preserve"> w Regulaminie konkursu w zak</w:t>
      </w:r>
      <w:r w:rsidR="006E1C3C">
        <w:rPr>
          <w:rFonts w:ascii="Arial" w:eastAsia="Calibri" w:hAnsi="Arial" w:cs="Arial"/>
          <w:sz w:val="18"/>
          <w:szCs w:val="18"/>
          <w:lang w:eastAsia="ar-SA"/>
        </w:rPr>
        <w:t xml:space="preserve">resie prawidłowego rozumienia i </w:t>
      </w:r>
      <w:r w:rsidR="006E1C3C" w:rsidRPr="00A878AE">
        <w:rPr>
          <w:rFonts w:ascii="Arial" w:eastAsia="Calibri" w:hAnsi="Arial" w:cs="Arial"/>
          <w:sz w:val="18"/>
          <w:szCs w:val="18"/>
          <w:lang w:eastAsia="ar-SA"/>
        </w:rPr>
        <w:t xml:space="preserve">oceny spełnienia przez Wnioskodawcę zasady równości szans </w:t>
      </w:r>
      <w:r w:rsidR="006E1C3C">
        <w:rPr>
          <w:rFonts w:ascii="Arial" w:eastAsia="Calibri" w:hAnsi="Arial" w:cs="Arial"/>
          <w:sz w:val="18"/>
          <w:szCs w:val="18"/>
          <w:lang w:eastAsia="ar-SA"/>
        </w:rPr>
        <w:br/>
      </w:r>
      <w:r w:rsidR="006E1C3C" w:rsidRPr="00A878AE">
        <w:rPr>
          <w:rFonts w:ascii="Arial" w:eastAsia="Calibri" w:hAnsi="Arial" w:cs="Arial"/>
          <w:sz w:val="18"/>
          <w:szCs w:val="18"/>
          <w:lang w:eastAsia="ar-SA"/>
        </w:rPr>
        <w:t xml:space="preserve">i niedyskryminacji w perspektywie 2014-2020. </w:t>
      </w:r>
      <w:r w:rsidR="006E1C3C">
        <w:rPr>
          <w:rFonts w:ascii="Arial" w:eastAsia="Calibri" w:hAnsi="Arial" w:cs="Arial"/>
          <w:sz w:val="18"/>
          <w:szCs w:val="18"/>
          <w:lang w:eastAsia="ar-SA"/>
        </w:rPr>
        <w:t>Opracowano</w:t>
      </w:r>
      <w:r w:rsidR="006E1C3C" w:rsidRPr="00A878AE">
        <w:rPr>
          <w:rFonts w:ascii="Arial" w:eastAsia="Calibri" w:hAnsi="Arial" w:cs="Arial"/>
          <w:sz w:val="18"/>
          <w:szCs w:val="18"/>
          <w:lang w:eastAsia="ar-SA"/>
        </w:rPr>
        <w:t xml:space="preserve"> Instrukcje W</w:t>
      </w:r>
      <w:r w:rsidR="006E1C3C">
        <w:rPr>
          <w:rFonts w:ascii="Arial" w:eastAsia="Calibri" w:hAnsi="Arial" w:cs="Arial"/>
          <w:sz w:val="18"/>
          <w:szCs w:val="18"/>
          <w:lang w:eastAsia="ar-SA"/>
        </w:rPr>
        <w:t xml:space="preserve">ykonawcze dotyczące procedury </w:t>
      </w:r>
      <w:r w:rsidR="006E1C3C">
        <w:rPr>
          <w:rFonts w:ascii="Arial" w:eastAsia="Calibri" w:hAnsi="Arial" w:cs="Arial"/>
          <w:sz w:val="18"/>
          <w:szCs w:val="18"/>
          <w:lang w:eastAsia="ar-SA"/>
        </w:rPr>
        <w:br/>
        <w:t xml:space="preserve">w </w:t>
      </w:r>
      <w:r w:rsidR="006E1C3C" w:rsidRPr="00A878AE">
        <w:rPr>
          <w:rFonts w:ascii="Arial" w:eastAsia="Calibri" w:hAnsi="Arial" w:cs="Arial"/>
          <w:sz w:val="18"/>
          <w:szCs w:val="18"/>
          <w:lang w:eastAsia="ar-SA"/>
        </w:rPr>
        <w:t xml:space="preserve">zakresie uruchamiania środków na racjonalne usprawnienia w projektach, w których pierwotnie nie zakładano udziału osób z niepełnosprawnością. </w:t>
      </w:r>
    </w:p>
    <w:p w:rsidR="00877332" w:rsidRDefault="00877332" w:rsidP="00877332">
      <w:pPr>
        <w:tabs>
          <w:tab w:val="left" w:pos="709"/>
        </w:tabs>
        <w:spacing w:after="0" w:line="360" w:lineRule="auto"/>
        <w:jc w:val="both"/>
        <w:rPr>
          <w:rFonts w:ascii="Arial" w:eastAsia="Calibri" w:hAnsi="Arial" w:cs="Arial"/>
          <w:sz w:val="18"/>
          <w:szCs w:val="18"/>
          <w:lang w:eastAsia="ar-SA"/>
        </w:rPr>
      </w:pPr>
      <w:r>
        <w:rPr>
          <w:rFonts w:ascii="Arial" w:eastAsia="Calibri" w:hAnsi="Arial" w:cs="Arial"/>
          <w:sz w:val="18"/>
          <w:szCs w:val="18"/>
          <w:lang w:eastAsia="ar-SA"/>
        </w:rPr>
        <w:tab/>
      </w:r>
      <w:r w:rsidR="006E1C3C" w:rsidRPr="00A878AE">
        <w:rPr>
          <w:rFonts w:ascii="Arial" w:eastAsia="Calibri" w:hAnsi="Arial" w:cs="Arial"/>
          <w:sz w:val="18"/>
          <w:szCs w:val="18"/>
          <w:lang w:eastAsia="ar-SA"/>
        </w:rPr>
        <w:t xml:space="preserve">Na etapie składania wniosków o dofinansowanie wnioskodawca ma obowiązek opisać, w jaki sposób projekt wpływa na zasadę zrównoważonego rozwoju. Następnie opis ten jest weryfikowany na etapie oceny formalnej przy użyciu kryterium formalnego w brzmieniu: Zgodność </w:t>
      </w:r>
      <w:r>
        <w:rPr>
          <w:rFonts w:ascii="Arial" w:eastAsia="Calibri" w:hAnsi="Arial" w:cs="Arial"/>
          <w:sz w:val="18"/>
          <w:szCs w:val="18"/>
          <w:lang w:eastAsia="ar-SA"/>
        </w:rPr>
        <w:t>projektu opisanego we wniosku o </w:t>
      </w:r>
      <w:r w:rsidR="006E1C3C" w:rsidRPr="00A878AE">
        <w:rPr>
          <w:rFonts w:ascii="Arial" w:eastAsia="Calibri" w:hAnsi="Arial" w:cs="Arial"/>
          <w:sz w:val="18"/>
          <w:szCs w:val="18"/>
          <w:lang w:eastAsia="ar-SA"/>
        </w:rPr>
        <w:t xml:space="preserve">dofinansowanie </w:t>
      </w:r>
      <w:r w:rsidR="006E1C3C">
        <w:rPr>
          <w:rFonts w:ascii="Arial" w:eastAsia="Calibri" w:hAnsi="Arial" w:cs="Arial"/>
          <w:sz w:val="18"/>
          <w:szCs w:val="18"/>
          <w:lang w:eastAsia="ar-SA"/>
        </w:rPr>
        <w:t xml:space="preserve">z </w:t>
      </w:r>
      <w:r w:rsidR="006E1C3C" w:rsidRPr="00A878AE">
        <w:rPr>
          <w:rFonts w:ascii="Arial" w:eastAsia="Calibri" w:hAnsi="Arial" w:cs="Arial"/>
          <w:sz w:val="18"/>
          <w:szCs w:val="18"/>
          <w:lang w:eastAsia="ar-SA"/>
        </w:rPr>
        <w:t>zasadą zrównoważonego rozwoju. Wnioski, które nie są zgodne z p</w:t>
      </w:r>
      <w:r>
        <w:rPr>
          <w:rFonts w:ascii="Arial" w:eastAsia="Calibri" w:hAnsi="Arial" w:cs="Arial"/>
          <w:sz w:val="18"/>
          <w:szCs w:val="18"/>
          <w:lang w:eastAsia="ar-SA"/>
        </w:rPr>
        <w:t>rzedmiotową zasadą są odrzucane.</w:t>
      </w:r>
    </w:p>
    <w:p w:rsidR="00877332" w:rsidRDefault="00877332" w:rsidP="00877332">
      <w:pPr>
        <w:tabs>
          <w:tab w:val="left" w:pos="709"/>
        </w:tabs>
        <w:spacing w:after="0" w:line="360" w:lineRule="auto"/>
        <w:jc w:val="both"/>
        <w:rPr>
          <w:rFonts w:ascii="Arial" w:eastAsia="Times New Roman" w:hAnsi="Arial" w:cs="Arial"/>
          <w:sz w:val="18"/>
          <w:szCs w:val="18"/>
          <w:lang w:eastAsia="pl-PL"/>
        </w:rPr>
      </w:pPr>
      <w:r>
        <w:rPr>
          <w:rFonts w:ascii="Arial" w:eastAsia="Calibri" w:hAnsi="Arial" w:cs="Arial"/>
          <w:sz w:val="18"/>
          <w:szCs w:val="18"/>
        </w:rPr>
        <w:tab/>
      </w:r>
      <w:r w:rsidR="006E1C3C" w:rsidRPr="00A878AE">
        <w:rPr>
          <w:rFonts w:ascii="Arial" w:eastAsia="Calibri" w:hAnsi="Arial" w:cs="Arial"/>
          <w:sz w:val="18"/>
          <w:szCs w:val="18"/>
        </w:rPr>
        <w:t xml:space="preserve">W trakcie przygotowywania, a także realizacji Regionalnego Programu Operacyjnego Województwa Mazowieckiego na lata 2014-2020 podstawowym założeniem, którym kieruje się Samorząd Województwa Mazowieckiego </w:t>
      </w:r>
      <w:r w:rsidR="00AE5D1D">
        <w:rPr>
          <w:rFonts w:ascii="Arial" w:eastAsia="Calibri" w:hAnsi="Arial" w:cs="Arial"/>
          <w:sz w:val="18"/>
          <w:szCs w:val="18"/>
        </w:rPr>
        <w:t>jest</w:t>
      </w:r>
      <w:r w:rsidR="006E1C3C" w:rsidRPr="00A878AE">
        <w:rPr>
          <w:rFonts w:ascii="Arial" w:eastAsia="Calibri" w:hAnsi="Arial" w:cs="Arial"/>
          <w:sz w:val="18"/>
          <w:szCs w:val="18"/>
        </w:rPr>
        <w:t xml:space="preserve"> </w:t>
      </w:r>
      <w:r w:rsidR="006E1C3C" w:rsidRPr="00AE5D1D">
        <w:rPr>
          <w:rFonts w:ascii="Arial" w:eastAsia="Calibri" w:hAnsi="Arial" w:cs="Arial"/>
          <w:bCs/>
          <w:sz w:val="18"/>
          <w:szCs w:val="18"/>
        </w:rPr>
        <w:t>zasada partnerstwa</w:t>
      </w:r>
      <w:r w:rsidR="006E1C3C" w:rsidRPr="00AE5D1D">
        <w:rPr>
          <w:rFonts w:ascii="Arial" w:eastAsia="Calibri" w:hAnsi="Arial" w:cs="Arial"/>
          <w:sz w:val="18"/>
          <w:szCs w:val="18"/>
        </w:rPr>
        <w:t>.</w:t>
      </w:r>
      <w:r w:rsidR="006E1C3C" w:rsidRPr="00A878AE">
        <w:rPr>
          <w:rFonts w:ascii="Arial" w:eastAsia="Calibri" w:hAnsi="Arial" w:cs="Arial"/>
          <w:sz w:val="18"/>
          <w:szCs w:val="18"/>
        </w:rPr>
        <w:t xml:space="preserve"> </w:t>
      </w:r>
      <w:r w:rsidR="006E1C3C" w:rsidRPr="00A878AE">
        <w:rPr>
          <w:rFonts w:ascii="Arial" w:eastAsia="Calibri" w:hAnsi="Arial" w:cs="Arial"/>
          <w:bCs/>
          <w:sz w:val="18"/>
          <w:szCs w:val="18"/>
        </w:rPr>
        <w:t>Rola partnerstwa jest ważna na każdym etapie realizacji RPO WM 2014-2020</w:t>
      </w:r>
      <w:r w:rsidR="006E1C3C">
        <w:rPr>
          <w:rFonts w:ascii="Arial" w:eastAsia="Calibri" w:hAnsi="Arial" w:cs="Arial"/>
          <w:bCs/>
          <w:sz w:val="18"/>
          <w:szCs w:val="18"/>
        </w:rPr>
        <w:t xml:space="preserve">. </w:t>
      </w:r>
      <w:r w:rsidR="006E1C3C" w:rsidRPr="00A878AE">
        <w:rPr>
          <w:rFonts w:ascii="Arial" w:eastAsia="Calibri" w:hAnsi="Arial" w:cs="Arial"/>
          <w:bCs/>
          <w:sz w:val="18"/>
          <w:szCs w:val="18"/>
        </w:rPr>
        <w:t xml:space="preserve">Korzystając z doświadczeń </w:t>
      </w:r>
      <w:r w:rsidR="006E1C3C" w:rsidRPr="00A878AE">
        <w:rPr>
          <w:rFonts w:ascii="Arial" w:eastAsia="Times New Roman" w:hAnsi="Arial" w:cs="Arial"/>
          <w:sz w:val="18"/>
          <w:szCs w:val="18"/>
          <w:lang w:eastAsia="pl-PL"/>
        </w:rPr>
        <w:t>perspektywy 2007-2013 został utworzony Komitet Monitorujący RPO WM 2014-2020. Komitet aktywnie włącza się w realizację procesu ewaluacji programu, np. poprzez akceptację planu ewaluacji, jak również analizę postępu realizacji planu. W</w:t>
      </w:r>
      <w:r w:rsidR="006E1C3C">
        <w:rPr>
          <w:rFonts w:ascii="Arial" w:eastAsia="Times New Roman" w:hAnsi="Arial" w:cs="Arial"/>
          <w:sz w:val="18"/>
          <w:szCs w:val="18"/>
          <w:lang w:eastAsia="pl-PL"/>
        </w:rPr>
        <w:t xml:space="preserve"> </w:t>
      </w:r>
      <w:r w:rsidR="006E1C3C" w:rsidRPr="00A878AE">
        <w:rPr>
          <w:rFonts w:ascii="Arial" w:eastAsia="Times New Roman" w:hAnsi="Arial" w:cs="Arial"/>
          <w:sz w:val="18"/>
          <w:szCs w:val="18"/>
          <w:lang w:eastAsia="pl-PL"/>
        </w:rPr>
        <w:t>ramach prac Komitetu analizowane są wyniki badań ewaluacyjnych,</w:t>
      </w:r>
      <w:r w:rsidR="006E1C3C" w:rsidRPr="00A878AE">
        <w:rPr>
          <w:rFonts w:ascii="Arial" w:eastAsia="Times New Roman" w:hAnsi="Arial" w:cs="Arial"/>
          <w:lang w:eastAsia="pl-PL"/>
        </w:rPr>
        <w:t xml:space="preserve"> </w:t>
      </w:r>
      <w:r w:rsidR="006E1C3C" w:rsidRPr="00A878AE">
        <w:rPr>
          <w:rFonts w:ascii="Arial" w:eastAsia="Times New Roman" w:hAnsi="Arial" w:cs="Arial"/>
          <w:sz w:val="18"/>
          <w:szCs w:val="18"/>
          <w:lang w:eastAsia="pl-PL"/>
        </w:rPr>
        <w:t>sposób ich wdrożenia, a także monitorowanie realizacji zasady partnerstwa w procesie ewaluacji. W trakcie realizacji badania ewaluacy</w:t>
      </w:r>
      <w:r>
        <w:rPr>
          <w:rFonts w:ascii="Arial" w:eastAsia="Times New Roman" w:hAnsi="Arial" w:cs="Arial"/>
          <w:sz w:val="18"/>
          <w:szCs w:val="18"/>
          <w:lang w:eastAsia="pl-PL"/>
        </w:rPr>
        <w:t>jnego organizowane są wywiady z </w:t>
      </w:r>
      <w:r w:rsidR="006E1C3C" w:rsidRPr="00A878AE">
        <w:rPr>
          <w:rFonts w:ascii="Arial" w:eastAsia="Times New Roman" w:hAnsi="Arial" w:cs="Arial"/>
          <w:sz w:val="18"/>
          <w:szCs w:val="18"/>
          <w:lang w:eastAsia="pl-PL"/>
        </w:rPr>
        <w:t>beneficjentami, żeby umożliwić wypowiedzenie się wszystkich zainteresowanych.</w:t>
      </w:r>
    </w:p>
    <w:p w:rsidR="00D86ECD" w:rsidRDefault="00877332" w:rsidP="00877332">
      <w:pPr>
        <w:tabs>
          <w:tab w:val="left" w:pos="709"/>
        </w:tabs>
        <w:spacing w:after="0" w:line="360" w:lineRule="auto"/>
        <w:jc w:val="both"/>
        <w:rPr>
          <w:rFonts w:ascii="Arial" w:eastAsia="Calibri" w:hAnsi="Arial" w:cs="Arial"/>
          <w:sz w:val="18"/>
          <w:szCs w:val="18"/>
        </w:rPr>
      </w:pPr>
      <w:r>
        <w:rPr>
          <w:rFonts w:ascii="Arial" w:eastAsia="Calibri" w:hAnsi="Arial" w:cs="Arial"/>
          <w:sz w:val="18"/>
          <w:szCs w:val="18"/>
          <w:lang w:eastAsia="pl-PL"/>
        </w:rPr>
        <w:tab/>
      </w:r>
      <w:r w:rsidR="006E1C3C" w:rsidRPr="00A878AE">
        <w:rPr>
          <w:rFonts w:ascii="Arial" w:eastAsia="Calibri" w:hAnsi="Arial" w:cs="Arial"/>
          <w:sz w:val="18"/>
          <w:szCs w:val="18"/>
          <w:lang w:eastAsia="pl-PL"/>
        </w:rPr>
        <w:t>W okresie sprawozdawczym wszystkie działania były prowadzone zgodnie ze Strategią komunikacji RPO WM na lata 2014-2020 oraz Rocznym planem działań informacyjnych i promocyjnych na 2016 rok. Działania zostały zrealizowane w obszarach:</w:t>
      </w:r>
      <w:r w:rsidR="006E1C3C">
        <w:rPr>
          <w:rFonts w:ascii="Arial" w:eastAsia="Calibri" w:hAnsi="Arial" w:cs="Arial"/>
          <w:sz w:val="18"/>
          <w:szCs w:val="18"/>
          <w:lang w:eastAsia="pl-PL"/>
        </w:rPr>
        <w:t xml:space="preserve"> </w:t>
      </w:r>
      <w:r w:rsidR="006E1C3C">
        <w:rPr>
          <w:rFonts w:ascii="Arial" w:eastAsia="Calibri" w:hAnsi="Arial" w:cs="Arial"/>
          <w:sz w:val="18"/>
          <w:szCs w:val="18"/>
        </w:rPr>
        <w:t>koordynacji</w:t>
      </w:r>
      <w:r w:rsidR="006E1C3C" w:rsidRPr="00A878AE">
        <w:rPr>
          <w:rFonts w:ascii="Arial" w:eastAsia="Calibri" w:hAnsi="Arial" w:cs="Arial"/>
          <w:sz w:val="18"/>
          <w:szCs w:val="18"/>
        </w:rPr>
        <w:t xml:space="preserve"> systemu informacji i promocji</w:t>
      </w:r>
      <w:r w:rsidR="006E1C3C">
        <w:rPr>
          <w:rFonts w:ascii="Arial" w:eastAsia="Calibri" w:hAnsi="Arial" w:cs="Arial"/>
          <w:sz w:val="18"/>
          <w:szCs w:val="18"/>
        </w:rPr>
        <w:t>,</w:t>
      </w:r>
      <w:r w:rsidR="006E1C3C">
        <w:rPr>
          <w:rFonts w:ascii="Arial" w:eastAsia="Calibri" w:hAnsi="Arial" w:cs="Arial"/>
          <w:sz w:val="18"/>
          <w:szCs w:val="18"/>
          <w:lang w:eastAsia="pl-PL"/>
        </w:rPr>
        <w:t xml:space="preserve"> </w:t>
      </w:r>
      <w:r w:rsidR="006E1C3C">
        <w:rPr>
          <w:rFonts w:ascii="Arial" w:eastAsia="Calibri" w:hAnsi="Arial" w:cs="Arial"/>
          <w:sz w:val="18"/>
          <w:szCs w:val="18"/>
        </w:rPr>
        <w:t>d</w:t>
      </w:r>
      <w:r w:rsidR="006E1C3C" w:rsidRPr="00A878AE">
        <w:rPr>
          <w:rFonts w:ascii="Arial" w:eastAsia="Calibri" w:hAnsi="Arial" w:cs="Arial"/>
          <w:sz w:val="18"/>
          <w:szCs w:val="18"/>
        </w:rPr>
        <w:t>ziałania informacyjne</w:t>
      </w:r>
      <w:r w:rsidR="006E1C3C">
        <w:rPr>
          <w:rFonts w:ascii="Arial" w:eastAsia="Calibri" w:hAnsi="Arial" w:cs="Arial"/>
          <w:sz w:val="18"/>
          <w:szCs w:val="18"/>
        </w:rPr>
        <w:t>, d</w:t>
      </w:r>
      <w:r w:rsidR="006E1C3C" w:rsidRPr="00A878AE">
        <w:rPr>
          <w:rFonts w:ascii="Arial" w:eastAsia="Calibri" w:hAnsi="Arial" w:cs="Arial"/>
          <w:sz w:val="18"/>
          <w:szCs w:val="18"/>
        </w:rPr>
        <w:t>ziałania edukacyjne</w:t>
      </w:r>
      <w:r w:rsidR="006E1C3C">
        <w:rPr>
          <w:rFonts w:ascii="Arial" w:eastAsia="Calibri" w:hAnsi="Arial" w:cs="Arial"/>
          <w:sz w:val="18"/>
          <w:szCs w:val="18"/>
          <w:lang w:eastAsia="pl-PL"/>
        </w:rPr>
        <w:t xml:space="preserve">, </w:t>
      </w:r>
      <w:r w:rsidR="006E1C3C">
        <w:rPr>
          <w:rFonts w:ascii="Arial" w:eastAsia="Calibri" w:hAnsi="Arial" w:cs="Arial"/>
          <w:sz w:val="18"/>
          <w:szCs w:val="18"/>
        </w:rPr>
        <w:t>d</w:t>
      </w:r>
      <w:r w:rsidR="006E1C3C" w:rsidRPr="00A878AE">
        <w:rPr>
          <w:rFonts w:ascii="Arial" w:eastAsia="Calibri" w:hAnsi="Arial" w:cs="Arial"/>
          <w:sz w:val="18"/>
          <w:szCs w:val="18"/>
        </w:rPr>
        <w:t>ziałania promocyjne, takie jak współpraca z mediami i działania promocyjne w Internecie</w:t>
      </w:r>
      <w:r w:rsidR="006E1C3C">
        <w:rPr>
          <w:rFonts w:ascii="Arial" w:eastAsia="Calibri" w:hAnsi="Arial" w:cs="Arial"/>
          <w:sz w:val="18"/>
          <w:szCs w:val="18"/>
        </w:rPr>
        <w:t>,</w:t>
      </w:r>
      <w:r w:rsidR="006E1C3C">
        <w:rPr>
          <w:rFonts w:ascii="Arial" w:eastAsia="Calibri" w:hAnsi="Arial" w:cs="Arial"/>
          <w:sz w:val="18"/>
          <w:szCs w:val="18"/>
          <w:lang w:eastAsia="pl-PL"/>
        </w:rPr>
        <w:t xml:space="preserve"> </w:t>
      </w:r>
      <w:r w:rsidR="00AE5D1D">
        <w:rPr>
          <w:rFonts w:ascii="Arial" w:eastAsia="Calibri" w:hAnsi="Arial" w:cs="Arial"/>
          <w:sz w:val="18"/>
          <w:szCs w:val="18"/>
          <w:lang w:eastAsia="pl-PL"/>
        </w:rPr>
        <w:t>i</w:t>
      </w:r>
      <w:r w:rsidR="006E1C3C" w:rsidRPr="00A878AE">
        <w:rPr>
          <w:rFonts w:ascii="Arial" w:eastAsia="Calibri" w:hAnsi="Arial" w:cs="Arial"/>
          <w:sz w:val="18"/>
          <w:szCs w:val="18"/>
        </w:rPr>
        <w:t>mprezy otwarte i inne</w:t>
      </w:r>
      <w:r w:rsidR="006E1C3C">
        <w:rPr>
          <w:rFonts w:ascii="Arial" w:eastAsia="Calibri" w:hAnsi="Arial" w:cs="Arial"/>
          <w:sz w:val="18"/>
          <w:szCs w:val="18"/>
        </w:rPr>
        <w:t>.</w:t>
      </w:r>
    </w:p>
    <w:p w:rsidR="006E1C3C" w:rsidRPr="00A878AE" w:rsidRDefault="00D86ECD" w:rsidP="00D86ECD">
      <w:pPr>
        <w:tabs>
          <w:tab w:val="left" w:pos="709"/>
        </w:tabs>
        <w:spacing w:after="0" w:line="360" w:lineRule="auto"/>
        <w:jc w:val="both"/>
        <w:rPr>
          <w:rFonts w:ascii="Arial" w:eastAsia="Calibri" w:hAnsi="Arial" w:cs="Arial"/>
          <w:sz w:val="18"/>
          <w:szCs w:val="18"/>
          <w:lang w:eastAsia="ar-SA"/>
        </w:rPr>
      </w:pPr>
      <w:r>
        <w:rPr>
          <w:rFonts w:ascii="Arial" w:eastAsia="Calibri" w:hAnsi="Arial" w:cs="Arial"/>
          <w:sz w:val="18"/>
          <w:szCs w:val="18"/>
        </w:rPr>
        <w:tab/>
      </w:r>
      <w:r w:rsidR="006E1C3C" w:rsidRPr="00A878AE">
        <w:rPr>
          <w:rFonts w:ascii="Arial" w:eastAsia="Calibri" w:hAnsi="Arial" w:cs="Arial"/>
          <w:sz w:val="18"/>
          <w:szCs w:val="18"/>
          <w:lang w:eastAsia="ar-SA"/>
        </w:rPr>
        <w:t>Województwo mazowieckie aktywnie uczestniczy w procesie wdrażania Strategii UE dla Regionu Morza Bałtyckiego (SUE RMB). Pomiędzy SUE RMB a RPO WM 2014-2020 występuje komplementarność tzn. poszczególne osie priorytetowe Programu są zgodne z celami ogólnymi SUE RMB, tj.: ocalenie morza, rozwój połączeń w regionie i zwiększenie dobrobytu. Ogólna zgodność kierunków interwencji z obszarami priorytetowymi Strategii, oznacza pośredni wpływ Programu na jej realizację w tych obszarach. Wkład Programu w realizację SUE RMB realizowany jest poprzez działania dot</w:t>
      </w:r>
      <w:r w:rsidR="006E1C3C">
        <w:rPr>
          <w:rFonts w:ascii="Arial" w:eastAsia="Calibri" w:hAnsi="Arial" w:cs="Arial"/>
          <w:sz w:val="18"/>
          <w:szCs w:val="18"/>
          <w:lang w:eastAsia="ar-SA"/>
        </w:rPr>
        <w:t xml:space="preserve">yczące większości wspieranych z </w:t>
      </w:r>
      <w:r w:rsidR="006E1C3C" w:rsidRPr="00A878AE">
        <w:rPr>
          <w:rFonts w:ascii="Arial" w:eastAsia="Calibri" w:hAnsi="Arial" w:cs="Arial"/>
          <w:sz w:val="18"/>
          <w:szCs w:val="18"/>
          <w:lang w:eastAsia="ar-SA"/>
        </w:rPr>
        <w:t>UE dziedzin, tj. m.in.: badań i</w:t>
      </w:r>
      <w:r>
        <w:rPr>
          <w:rFonts w:ascii="Arial" w:eastAsia="Calibri" w:hAnsi="Arial" w:cs="Arial"/>
          <w:sz w:val="18"/>
          <w:szCs w:val="18"/>
          <w:lang w:eastAsia="ar-SA"/>
        </w:rPr>
        <w:t> </w:t>
      </w:r>
      <w:r w:rsidR="006E1C3C" w:rsidRPr="00A878AE">
        <w:rPr>
          <w:rFonts w:ascii="Arial" w:eastAsia="Calibri" w:hAnsi="Arial" w:cs="Arial"/>
          <w:sz w:val="18"/>
          <w:szCs w:val="18"/>
          <w:lang w:eastAsia="ar-SA"/>
        </w:rPr>
        <w:t>rozwoju, transferu technologii i innowacji, ochrony środowiska naturalnego, kultury, transportu czy też rynku pracy.</w:t>
      </w:r>
      <w:r>
        <w:rPr>
          <w:rFonts w:ascii="Arial" w:eastAsia="Calibri" w:hAnsi="Arial" w:cs="Arial"/>
          <w:sz w:val="18"/>
          <w:szCs w:val="18"/>
          <w:lang w:eastAsia="ar-SA"/>
        </w:rPr>
        <w:t xml:space="preserve"> </w:t>
      </w:r>
      <w:r w:rsidR="006E1C3C" w:rsidRPr="00A878AE">
        <w:rPr>
          <w:rFonts w:ascii="Arial" w:eastAsia="Calibri" w:hAnsi="Arial" w:cs="Arial"/>
          <w:sz w:val="18"/>
          <w:szCs w:val="18"/>
          <w:lang w:eastAsia="ar-SA"/>
        </w:rPr>
        <w:t>Program zapewnia komplementarność z SUE RMB w szczególności jeśli chodzi o realizację celu SUE RMB dotyczącego wzrostu dobrobytu, w obszarze priorytetowym Innowacje, poprzez realizację następujących osi priorytetowych RPO WM 2014-2020:</w:t>
      </w:r>
      <w:r w:rsidR="006E1C3C">
        <w:rPr>
          <w:rFonts w:ascii="Arial" w:eastAsia="Calibri" w:hAnsi="Arial" w:cs="Arial"/>
          <w:sz w:val="18"/>
          <w:szCs w:val="18"/>
          <w:lang w:eastAsia="ar-SA"/>
        </w:rPr>
        <w:t xml:space="preserve"> </w:t>
      </w:r>
      <w:r w:rsidR="006E1C3C" w:rsidRPr="00A878AE">
        <w:rPr>
          <w:rFonts w:ascii="Arial" w:eastAsia="Calibri" w:hAnsi="Arial" w:cs="Arial"/>
          <w:sz w:val="18"/>
          <w:szCs w:val="18"/>
          <w:lang w:eastAsia="ar-SA"/>
        </w:rPr>
        <w:t>I oś priorytetowa pn. Wykorzystanie działalności badawczo-rozwojowej w gospodarce, III oś priorytetowa pn. Rozwój potencjału innowacyjnego i przedsiębiorczości.</w:t>
      </w:r>
      <w:r>
        <w:rPr>
          <w:rFonts w:ascii="Arial" w:eastAsia="Calibri" w:hAnsi="Arial" w:cs="Arial"/>
          <w:sz w:val="18"/>
          <w:szCs w:val="18"/>
          <w:lang w:eastAsia="ar-SA"/>
        </w:rPr>
        <w:t xml:space="preserve"> </w:t>
      </w:r>
    </w:p>
    <w:p w:rsidR="006E1C3C" w:rsidRPr="00A878AE" w:rsidRDefault="006E1C3C" w:rsidP="006E1C3C">
      <w:pPr>
        <w:spacing w:after="0" w:line="360" w:lineRule="auto"/>
        <w:ind w:firstLine="708"/>
        <w:jc w:val="both"/>
        <w:rPr>
          <w:rFonts w:ascii="Arial" w:eastAsia="Calibri" w:hAnsi="Arial" w:cs="Arial"/>
          <w:sz w:val="18"/>
          <w:szCs w:val="18"/>
          <w:lang w:eastAsia="ar-SA"/>
        </w:rPr>
      </w:pPr>
      <w:r w:rsidRPr="00A878AE">
        <w:rPr>
          <w:rFonts w:ascii="Arial" w:eastAsia="Calibri" w:hAnsi="Arial" w:cs="Arial"/>
          <w:sz w:val="18"/>
          <w:szCs w:val="18"/>
          <w:lang w:eastAsia="ar-SA"/>
        </w:rPr>
        <w:t>Poprawa jakości życia społeczeństwa, ze szczególnym uwzględnieniem tych grup i obszarów, w których istnieje szczególna potrzeba wsparcia lokalnej społeczności stanowi jeden z głównych celów RPO WM 2014-2020. Realizacji tego celu służą działania w ramach VIII osi priorytetowej pn. Rozwój rynku pracy, IX osi priorytetowej pn. Wspieranie włączenia społecznego i walka z ubóstwem oraz X osi priorytetowej pn. Edukacja dla rozwoju regionu.</w:t>
      </w:r>
    </w:p>
    <w:p w:rsidR="006E1C3C" w:rsidRPr="00A878AE" w:rsidRDefault="006E1C3C" w:rsidP="00FF3508">
      <w:pPr>
        <w:spacing w:after="0" w:line="360" w:lineRule="auto"/>
        <w:ind w:firstLine="66"/>
        <w:jc w:val="both"/>
        <w:rPr>
          <w:rFonts w:ascii="Arial" w:eastAsia="Calibri" w:hAnsi="Arial" w:cs="Arial"/>
          <w:sz w:val="18"/>
          <w:szCs w:val="18"/>
          <w:lang w:eastAsia="ar-SA"/>
        </w:rPr>
      </w:pPr>
      <w:r w:rsidRPr="00A878AE">
        <w:rPr>
          <w:rFonts w:ascii="Arial" w:eastAsia="Calibri" w:hAnsi="Arial" w:cs="Arial"/>
          <w:sz w:val="18"/>
          <w:szCs w:val="18"/>
          <w:lang w:eastAsia="ar-SA"/>
        </w:rPr>
        <w:t>Zgodnie z założeniami Programu w ramach realizacji EFS działania mające na celu zaspokojenie szczególnych potrzeb grup docelowych najbardziej zagrożonych wyklucze</w:t>
      </w:r>
      <w:r>
        <w:rPr>
          <w:rFonts w:ascii="Arial" w:eastAsia="Calibri" w:hAnsi="Arial" w:cs="Arial"/>
          <w:sz w:val="18"/>
          <w:szCs w:val="18"/>
          <w:lang w:eastAsia="ar-SA"/>
        </w:rPr>
        <w:t xml:space="preserve">niem społecznym prowadzone są w </w:t>
      </w:r>
      <w:r w:rsidRPr="00A878AE">
        <w:rPr>
          <w:rFonts w:ascii="Arial" w:eastAsia="Calibri" w:hAnsi="Arial" w:cs="Arial"/>
          <w:sz w:val="18"/>
          <w:szCs w:val="18"/>
          <w:lang w:eastAsia="ar-SA"/>
        </w:rPr>
        <w:t>zakresie konkursów ogłaszanych w ramach OP VIII, IX i X.</w:t>
      </w:r>
    </w:p>
    <w:p w:rsidR="006E1C3C" w:rsidRDefault="006E1C3C" w:rsidP="006E1C3C">
      <w:pPr>
        <w:numPr>
          <w:ilvl w:val="0"/>
          <w:numId w:val="13"/>
        </w:numPr>
        <w:spacing w:after="0" w:line="360" w:lineRule="auto"/>
        <w:ind w:left="426"/>
        <w:jc w:val="both"/>
        <w:rPr>
          <w:rFonts w:ascii="Arial" w:eastAsia="Calibri" w:hAnsi="Arial" w:cs="Arial"/>
          <w:sz w:val="18"/>
          <w:szCs w:val="18"/>
          <w:lang w:eastAsia="ar-SA"/>
        </w:rPr>
      </w:pPr>
      <w:r w:rsidRPr="00A878AE">
        <w:rPr>
          <w:rFonts w:ascii="Arial" w:eastAsia="Calibri" w:hAnsi="Arial" w:cs="Arial"/>
          <w:sz w:val="18"/>
          <w:szCs w:val="18"/>
          <w:lang w:eastAsia="ar-SA"/>
        </w:rPr>
        <w:t xml:space="preserve">Oś VIII - prowadzono działania mające na celu aktywizację zawodową osób w wieku 30 lat i powyżej. Jednym z celów jest objęcie wsparciem osób będących w najtrudniejszej sytuacji na rynku pracy. Do końca 2016 r., w ramach Działania 8.1 przeprowadzono nabór na projekty pozakonkursowe, w którym wzięło udział 39 urzędów pracy. </w:t>
      </w:r>
    </w:p>
    <w:p w:rsidR="006E1C3C" w:rsidRPr="00A878AE" w:rsidRDefault="006E1C3C" w:rsidP="006E1C3C">
      <w:pPr>
        <w:numPr>
          <w:ilvl w:val="0"/>
          <w:numId w:val="13"/>
        </w:numPr>
        <w:spacing w:after="0" w:line="360" w:lineRule="auto"/>
        <w:ind w:left="426"/>
        <w:jc w:val="both"/>
        <w:rPr>
          <w:rFonts w:ascii="Arial" w:eastAsia="Calibri" w:hAnsi="Arial" w:cs="Arial"/>
          <w:sz w:val="18"/>
          <w:szCs w:val="18"/>
          <w:lang w:eastAsia="ar-SA"/>
        </w:rPr>
      </w:pPr>
      <w:r w:rsidRPr="00A878AE">
        <w:rPr>
          <w:rFonts w:ascii="Arial" w:eastAsia="Calibri" w:hAnsi="Arial" w:cs="Arial"/>
          <w:sz w:val="18"/>
          <w:szCs w:val="18"/>
          <w:lang w:eastAsia="ar-SA"/>
        </w:rPr>
        <w:t>Oś IX - zastosowano preferencje punktowe dla projektów, gdzie wspierane są głównie osoby zamieszkujące na obszarach poniżej progu defaworyzacji określonego w Mazowieckim barometrze ubóstwa i wykluczenia społecznego, w tym na obszarach wiejskich. Związane jest to m. in. ze zróżnicowanym poziomem zagrożenia ubóstwem i wykluczeniem społecznym na terenie woj</w:t>
      </w:r>
      <w:r w:rsidR="00AE5D1D">
        <w:rPr>
          <w:rFonts w:ascii="Arial" w:eastAsia="Calibri" w:hAnsi="Arial" w:cs="Arial"/>
          <w:sz w:val="18"/>
          <w:szCs w:val="18"/>
          <w:lang w:eastAsia="ar-SA"/>
        </w:rPr>
        <w:t>ewództwa</w:t>
      </w:r>
      <w:r w:rsidRPr="00A878AE">
        <w:rPr>
          <w:rFonts w:ascii="Arial" w:eastAsia="Calibri" w:hAnsi="Arial" w:cs="Arial"/>
          <w:sz w:val="18"/>
          <w:szCs w:val="18"/>
          <w:lang w:eastAsia="ar-SA"/>
        </w:rPr>
        <w:t>. Uwzględnianie terytorialnego nasilenia ww. problemów wynika również z Rozdziału 5 RPO WM</w:t>
      </w:r>
      <w:r w:rsidR="00AE5D1D">
        <w:rPr>
          <w:rFonts w:ascii="Arial" w:eastAsia="Calibri" w:hAnsi="Arial" w:cs="Arial"/>
          <w:sz w:val="18"/>
          <w:szCs w:val="18"/>
          <w:lang w:eastAsia="ar-SA"/>
        </w:rPr>
        <w:t xml:space="preserve"> 2014-2020</w:t>
      </w:r>
      <w:r w:rsidRPr="00A878AE">
        <w:rPr>
          <w:rFonts w:ascii="Arial" w:eastAsia="Calibri" w:hAnsi="Arial" w:cs="Arial"/>
          <w:sz w:val="18"/>
          <w:szCs w:val="18"/>
          <w:lang w:eastAsia="ar-SA"/>
        </w:rPr>
        <w:t>. Ponadto w zależności od tematyki konkursu w ramach kryteriów dostępu i/lub merytorycznych szczegółowych zapewniane są preferencje dla określonych grup osób, do których należą: osoby z niepełnosprawnościami, osoby zakwalifikowane do III profilu pomocy zgodnie z Ustawą z dnia 20 kwietnia 2004 r. o promocji zatrudnienia i instytucjach rynku pracy, osoby korzystające z PO PŻ czy osoby doświadczające wielokrotnego wykluczenia społecznego. Wsparcie wobec nich ma na celu przezwyciężenie ich trudnej sytuacji życiowej, a agregowanie środków finansowych z EFS przyczynią się do kompleksowej i zindywidualizowanej realizacji działań, co byłoby nie możliwe jedynie przy wykorzystaniu środków krajowych w tak krótkim czasie.</w:t>
      </w:r>
    </w:p>
    <w:p w:rsidR="006E1C3C" w:rsidRPr="00A878AE" w:rsidRDefault="006E1C3C" w:rsidP="006E1C3C">
      <w:pPr>
        <w:numPr>
          <w:ilvl w:val="0"/>
          <w:numId w:val="14"/>
        </w:numPr>
        <w:spacing w:after="0" w:line="360" w:lineRule="auto"/>
        <w:ind w:left="426"/>
        <w:jc w:val="both"/>
        <w:rPr>
          <w:rFonts w:ascii="Arial" w:eastAsia="Calibri" w:hAnsi="Arial" w:cs="Arial"/>
          <w:sz w:val="18"/>
          <w:szCs w:val="18"/>
          <w:lang w:eastAsia="ar-SA"/>
        </w:rPr>
      </w:pPr>
      <w:r w:rsidRPr="00A878AE">
        <w:rPr>
          <w:rFonts w:ascii="Arial" w:eastAsia="Calibri" w:hAnsi="Arial" w:cs="Arial"/>
          <w:sz w:val="18"/>
          <w:szCs w:val="18"/>
          <w:lang w:eastAsia="ar-SA"/>
        </w:rPr>
        <w:t xml:space="preserve">Oś X Działanie 10.2 - realizowano wsparcie w postaci szkoleń lub innych form podnoszenia kompetencji cyfrowych i językowych, zakończonych procesem formalnego potwierdzania i certyfikacji nabytych kwalifikacji. Zastosowane w nim kryteria, preferujące osoby z grup najbardziej potrzebujących o niskich kwalifikacjach, osoby powyżej 50 r.ż. oraz z obszarów wiejskich. Adresatami są osoby w wieku powyżej 25 r.ż., które z własnej inicjatywy były zainteresowane nabyciem, uzupełnieniem lub podwyższeniem umiejętności oraz kompetencji cyfrowych oraz językowych. Preferowane były także projekty skierowane do placówek z obszarów wiejskich. Według danych z SL2014, na dzień 31.12. 2016 r. we wnioskach, w których zadeklarowano jako typ obszaru wsparcia "obszary wiejskie </w:t>
      </w:r>
      <w:r w:rsidR="00FF3508">
        <w:rPr>
          <w:rFonts w:ascii="Arial" w:eastAsia="Calibri" w:hAnsi="Arial" w:cs="Arial"/>
          <w:sz w:val="18"/>
          <w:szCs w:val="18"/>
          <w:lang w:eastAsia="ar-SA"/>
        </w:rPr>
        <w:t xml:space="preserve">(o małej gęstości zaludnienia)" </w:t>
      </w:r>
      <w:r w:rsidRPr="00A878AE">
        <w:rPr>
          <w:rFonts w:ascii="Arial" w:eastAsia="Calibri" w:hAnsi="Arial" w:cs="Arial"/>
          <w:sz w:val="18"/>
          <w:szCs w:val="18"/>
          <w:lang w:eastAsia="ar-SA"/>
        </w:rPr>
        <w:t>wartość dof. z EFS wynosi w ramach OP: VIII - 8 mln euro, IX - 3,6 mln euro, X - 11,6 mln euro.</w:t>
      </w:r>
    </w:p>
    <w:p w:rsidR="00A4381A" w:rsidRPr="00B3382F" w:rsidRDefault="00A4381A" w:rsidP="00A4381A">
      <w:pPr>
        <w:spacing w:after="0" w:line="360" w:lineRule="auto"/>
        <w:jc w:val="both"/>
        <w:rPr>
          <w:rFonts w:ascii="Arial" w:hAnsi="Arial" w:cs="Arial"/>
          <w:b/>
          <w:sz w:val="18"/>
          <w:szCs w:val="18"/>
          <w:lang w:val="en-GB"/>
        </w:rPr>
      </w:pPr>
      <w:r w:rsidRPr="003E3BCB">
        <w:rPr>
          <w:rFonts w:ascii="Arial" w:hAnsi="Arial" w:cs="Arial"/>
          <w:sz w:val="18"/>
          <w:szCs w:val="18"/>
          <w:lang w:val="en-US"/>
        </w:rPr>
        <w:br w:type="column"/>
      </w:r>
      <w:r w:rsidRPr="00B3382F">
        <w:rPr>
          <w:rFonts w:ascii="Arial" w:hAnsi="Arial" w:cs="Arial"/>
          <w:b/>
          <w:bCs/>
          <w:sz w:val="18"/>
          <w:szCs w:val="18"/>
          <w:lang w:val="en-GB"/>
        </w:rPr>
        <w:t>Appendix 2 SUMMARY TO BE MADE AVAILABLE TO THE PUBLIC (art. 50(9) of the Regulation (EU) no. 1303/2013)</w:t>
      </w:r>
    </w:p>
    <w:p w:rsidR="00A4381A" w:rsidRPr="00B3382F" w:rsidRDefault="00A4381A" w:rsidP="00A4381A">
      <w:pPr>
        <w:spacing w:after="0" w:line="360" w:lineRule="auto"/>
        <w:jc w:val="both"/>
        <w:rPr>
          <w:rFonts w:ascii="Arial" w:hAnsi="Arial" w:cs="Arial"/>
          <w:sz w:val="18"/>
          <w:szCs w:val="18"/>
          <w:lang w:val="en-GB"/>
        </w:rPr>
      </w:pPr>
    </w:p>
    <w:p w:rsidR="00A4381A" w:rsidRPr="00B3382F" w:rsidRDefault="00A4381A" w:rsidP="00A4381A">
      <w:pPr>
        <w:tabs>
          <w:tab w:val="num" w:pos="567"/>
        </w:tabs>
        <w:spacing w:before="120" w:after="0" w:line="360" w:lineRule="auto"/>
        <w:jc w:val="both"/>
        <w:rPr>
          <w:rFonts w:ascii="Arial" w:hAnsi="Arial" w:cs="Arial"/>
          <w:sz w:val="18"/>
          <w:szCs w:val="18"/>
          <w:lang w:val="en-GB"/>
        </w:rPr>
      </w:pPr>
      <w:r w:rsidRPr="00B3382F">
        <w:rPr>
          <w:rStyle w:val="StylNagwekArial10ptPogrubienieNiebieskoszaryZnak"/>
          <w:rFonts w:eastAsia="Calibri"/>
          <w:b w:val="0"/>
          <w:bCs w:val="0"/>
          <w:color w:val="auto"/>
          <w:sz w:val="18"/>
          <w:szCs w:val="18"/>
          <w:lang w:val="en-GB"/>
        </w:rPr>
        <w:tab/>
        <w:t xml:space="preserve">The annual report on the implementation of the 2014-2020 Regional Operational Programme of the Mazovia Province (2014-2020 ROP of the Mazovia Province) for 2016 </w:t>
      </w:r>
      <w:r w:rsidRPr="00B3382F">
        <w:rPr>
          <w:rFonts w:ascii="Arial" w:hAnsi="Arial" w:cs="Arial"/>
          <w:sz w:val="18"/>
          <w:szCs w:val="18"/>
          <w:lang w:val="en-GB"/>
        </w:rPr>
        <w:t xml:space="preserve">contains all the information required by the </w:t>
      </w:r>
      <w:r w:rsidRPr="00B3382F">
        <w:rPr>
          <w:rFonts w:ascii="Arial" w:hAnsi="Arial" w:cs="Arial"/>
          <w:sz w:val="18"/>
          <w:szCs w:val="18"/>
          <w:lang w:val="en-GB"/>
        </w:rPr>
        <w:br/>
        <w:t>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rsidR="00A4381A" w:rsidRPr="00B3382F" w:rsidRDefault="00A4381A" w:rsidP="00A4381A">
      <w:pPr>
        <w:tabs>
          <w:tab w:val="num" w:pos="567"/>
        </w:tabs>
        <w:spacing w:after="0" w:line="360" w:lineRule="auto"/>
        <w:jc w:val="both"/>
        <w:rPr>
          <w:rFonts w:ascii="Arial" w:hAnsi="Arial" w:cs="Arial"/>
          <w:sz w:val="18"/>
          <w:szCs w:val="18"/>
          <w:lang w:val="en-GB"/>
        </w:rPr>
      </w:pPr>
      <w:r w:rsidRPr="00B3382F">
        <w:rPr>
          <w:rFonts w:ascii="Arial" w:hAnsi="Arial" w:cs="Arial"/>
          <w:sz w:val="18"/>
          <w:szCs w:val="18"/>
          <w:lang w:val="en-GB"/>
        </w:rPr>
        <w:tab/>
        <w:t xml:space="preserve">The report was prepared in accordance with Annex V to the Commission Implementing Regulation (EU) 2015/207 of 20 January 2015 laying down detailed rules implementing Regulation (EU) No 1303/2013 of the European Parliament and of the Council as regards the models for the progress report, submission of the information on a major project, the joint action plan, the implementation reports for the ‘Investment for growth and </w:t>
      </w:r>
      <w:r w:rsidRPr="00B3382F">
        <w:rPr>
          <w:rFonts w:ascii="Arial" w:hAnsi="Arial" w:cs="Arial"/>
          <w:sz w:val="18"/>
          <w:szCs w:val="18"/>
          <w:lang w:val="en-GB"/>
        </w:rPr>
        <w:br/>
        <w:t xml:space="preserve">jobs’ goal, the management declaration, the audit strategy, the audit opinion and the annual control report and the methodology for carrying out the cost-benefit analysis and pursuant to Regulation (EU) No 1299/2013 of the </w:t>
      </w:r>
      <w:r w:rsidRPr="00B3382F">
        <w:rPr>
          <w:rFonts w:ascii="Arial" w:hAnsi="Arial" w:cs="Arial"/>
          <w:sz w:val="18"/>
          <w:szCs w:val="18"/>
          <w:lang w:val="en-GB"/>
        </w:rPr>
        <w:br/>
        <w:t xml:space="preserve">European Parliament and of the Council as regards the model for the implementation reports for the ‘European territorial cooperation’ goal as well as the </w:t>
      </w:r>
      <w:r w:rsidRPr="00B3382F">
        <w:rPr>
          <w:rFonts w:ascii="Arial" w:hAnsi="Arial" w:cs="Arial"/>
          <w:i/>
          <w:iCs/>
          <w:sz w:val="18"/>
          <w:szCs w:val="18"/>
          <w:lang w:val="en-GB"/>
        </w:rPr>
        <w:t xml:space="preserve">2014-2020 Reporting Guidelines </w:t>
      </w:r>
      <w:r w:rsidRPr="00B3382F">
        <w:rPr>
          <w:rFonts w:ascii="Arial" w:hAnsi="Arial" w:cs="Arial"/>
          <w:sz w:val="18"/>
          <w:szCs w:val="18"/>
          <w:lang w:val="en-GB"/>
        </w:rPr>
        <w:t>issued by the Minister of Economic Development and Finance.</w:t>
      </w:r>
    </w:p>
    <w:p w:rsidR="00A4381A" w:rsidRPr="00B3382F" w:rsidRDefault="00A4381A" w:rsidP="00A4381A">
      <w:pPr>
        <w:tabs>
          <w:tab w:val="num" w:pos="567"/>
        </w:tabs>
        <w:spacing w:after="0" w:line="360" w:lineRule="auto"/>
        <w:jc w:val="both"/>
        <w:rPr>
          <w:rFonts w:ascii="Arial" w:hAnsi="Arial" w:cs="Arial"/>
          <w:sz w:val="18"/>
          <w:szCs w:val="18"/>
          <w:lang w:val="en-GB"/>
        </w:rPr>
      </w:pPr>
    </w:p>
    <w:p w:rsidR="00A4381A" w:rsidRPr="00B3382F" w:rsidRDefault="00A4381A" w:rsidP="00A4381A">
      <w:pPr>
        <w:tabs>
          <w:tab w:val="num" w:pos="567"/>
        </w:tabs>
        <w:spacing w:after="0" w:line="360" w:lineRule="auto"/>
        <w:jc w:val="both"/>
        <w:rPr>
          <w:rFonts w:ascii="Arial" w:hAnsi="Arial" w:cs="Arial"/>
          <w:b/>
          <w:sz w:val="18"/>
          <w:szCs w:val="18"/>
          <w:lang w:val="en-GB"/>
        </w:rPr>
      </w:pPr>
      <w:r w:rsidRPr="00B3382F">
        <w:rPr>
          <w:rFonts w:ascii="Arial" w:hAnsi="Arial" w:cs="Arial"/>
          <w:b/>
          <w:bCs/>
          <w:sz w:val="18"/>
          <w:szCs w:val="18"/>
          <w:lang w:val="en-GB"/>
        </w:rPr>
        <w:t>Financial progress</w:t>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 xml:space="preserve">Since the implementation of the Programme began, 39 competitive calls for proposals with a total amount of allocation of EUR </w:t>
      </w:r>
      <w:r w:rsidR="00B02BA2">
        <w:rPr>
          <w:rFonts w:ascii="Arial" w:eastAsia="Arial Unicode MS" w:hAnsi="Arial" w:cs="Arial"/>
          <w:kern w:val="2"/>
          <w:sz w:val="18"/>
          <w:szCs w:val="18"/>
          <w:lang w:val="en-GB"/>
        </w:rPr>
        <w:t>615.7</w:t>
      </w:r>
      <w:r w:rsidRPr="00B3382F">
        <w:rPr>
          <w:rFonts w:ascii="Arial" w:eastAsia="Arial Unicode MS" w:hAnsi="Arial" w:cs="Arial"/>
          <w:kern w:val="2"/>
          <w:sz w:val="18"/>
          <w:szCs w:val="18"/>
          <w:lang w:val="en-GB"/>
        </w:rPr>
        <w:t xml:space="preserve"> million have been organised under the ERDF (in the reporting period - 3</w:t>
      </w:r>
      <w:r w:rsidR="00B02BA2">
        <w:rPr>
          <w:rFonts w:ascii="Arial" w:eastAsia="Arial Unicode MS" w:hAnsi="Arial" w:cs="Arial"/>
          <w:kern w:val="2"/>
          <w:sz w:val="18"/>
          <w:szCs w:val="18"/>
          <w:lang w:val="en-GB"/>
        </w:rPr>
        <w:t>3</w:t>
      </w:r>
      <w:r w:rsidRPr="00B3382F">
        <w:rPr>
          <w:rFonts w:ascii="Arial" w:eastAsia="Arial Unicode MS" w:hAnsi="Arial" w:cs="Arial"/>
          <w:kern w:val="2"/>
          <w:sz w:val="18"/>
          <w:szCs w:val="18"/>
          <w:lang w:val="en-GB"/>
        </w:rPr>
        <w:t xml:space="preserve"> calls with a total amount of allocation of EUR </w:t>
      </w:r>
      <w:r w:rsidR="00B02BA2">
        <w:rPr>
          <w:rFonts w:ascii="Arial" w:eastAsia="Arial Unicode MS" w:hAnsi="Arial" w:cs="Arial"/>
          <w:kern w:val="2"/>
          <w:sz w:val="18"/>
          <w:szCs w:val="18"/>
          <w:lang w:val="en-GB"/>
        </w:rPr>
        <w:t>49</w:t>
      </w:r>
      <w:r w:rsidR="007F76C7">
        <w:rPr>
          <w:rFonts w:ascii="Arial" w:eastAsia="Arial Unicode MS" w:hAnsi="Arial" w:cs="Arial"/>
          <w:kern w:val="2"/>
          <w:sz w:val="18"/>
          <w:szCs w:val="18"/>
          <w:lang w:val="en-GB"/>
        </w:rPr>
        <w:t>4</w:t>
      </w:r>
      <w:r w:rsidR="00B02BA2">
        <w:rPr>
          <w:rFonts w:ascii="Arial" w:eastAsia="Arial Unicode MS" w:hAnsi="Arial" w:cs="Arial"/>
          <w:kern w:val="2"/>
          <w:sz w:val="18"/>
          <w:szCs w:val="18"/>
          <w:lang w:val="en-GB"/>
        </w:rPr>
        <w:t>,</w:t>
      </w:r>
      <w:r w:rsidR="007F76C7">
        <w:rPr>
          <w:rFonts w:ascii="Arial" w:eastAsia="Arial Unicode MS" w:hAnsi="Arial" w:cs="Arial"/>
          <w:kern w:val="2"/>
          <w:sz w:val="18"/>
          <w:szCs w:val="18"/>
          <w:lang w:val="en-GB"/>
        </w:rPr>
        <w:t>4</w:t>
      </w:r>
      <w:r w:rsidRPr="00B3382F">
        <w:rPr>
          <w:rFonts w:ascii="Arial" w:eastAsia="Arial Unicode MS" w:hAnsi="Arial" w:cs="Arial"/>
          <w:kern w:val="2"/>
          <w:sz w:val="18"/>
          <w:szCs w:val="18"/>
          <w:lang w:val="en-GB"/>
        </w:rPr>
        <w:t xml:space="preserve"> million).</w:t>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 xml:space="preserve">Under the ESF, 31 competitive calls for proposals with a total amount of allocation of EUR </w:t>
      </w:r>
      <w:r w:rsidR="00B02BA2">
        <w:rPr>
          <w:rFonts w:ascii="Arial" w:eastAsia="Arial Unicode MS" w:hAnsi="Arial" w:cs="Arial"/>
          <w:kern w:val="2"/>
          <w:sz w:val="18"/>
          <w:szCs w:val="18"/>
          <w:lang w:val="en-GB"/>
        </w:rPr>
        <w:t>119,2</w:t>
      </w:r>
      <w:r w:rsidRPr="00B3382F">
        <w:rPr>
          <w:rFonts w:ascii="Arial" w:eastAsia="Arial Unicode MS" w:hAnsi="Arial" w:cs="Arial"/>
          <w:kern w:val="2"/>
          <w:sz w:val="18"/>
          <w:szCs w:val="18"/>
          <w:lang w:val="en-GB"/>
        </w:rPr>
        <w:t xml:space="preserve"> million have been organised (in the reporting period - 21 calls with a total amount of allocation of EUR 90.7 million). </w:t>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Projects under restricted calls for proposals included 140 projects with a total estimated value of EUR 277.2 million, including an EU contribution of EUR 230.5 million, with 66 agreements with a total value of EUR 132.8 million and with EU funding of 99.6 million signed.</w:t>
      </w:r>
    </w:p>
    <w:p w:rsidR="00A4381A" w:rsidRPr="00B3382F" w:rsidRDefault="00A4381A" w:rsidP="00A4381A">
      <w:pPr>
        <w:pStyle w:val="Akapitzlist"/>
        <w:numPr>
          <w:ilvl w:val="0"/>
          <w:numId w:val="30"/>
        </w:numPr>
        <w:suppressAutoHyphens/>
        <w:spacing w:before="120" w:after="120" w:line="360" w:lineRule="auto"/>
        <w:jc w:val="both"/>
        <w:rPr>
          <w:rFonts w:ascii="Arial" w:eastAsia="Arial Unicode MS" w:hAnsi="Arial" w:cs="Arial"/>
          <w:b/>
          <w:kern w:val="2"/>
          <w:sz w:val="18"/>
          <w:szCs w:val="18"/>
          <w:lang w:val="en-GB"/>
        </w:rPr>
      </w:pPr>
      <w:r w:rsidRPr="00B3382F">
        <w:rPr>
          <w:rFonts w:ascii="Arial" w:eastAsia="Arial Unicode MS" w:hAnsi="Arial" w:cs="Arial"/>
          <w:b/>
          <w:bCs/>
          <w:kern w:val="2"/>
          <w:sz w:val="18"/>
          <w:szCs w:val="18"/>
          <w:lang w:val="en-GB"/>
        </w:rPr>
        <w:t>Applications for funding</w:t>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2701 formally correct applications for funding with a total value of EUR 1329.2 million and with EU funding of EUR 946.3 million have been submitted (in the reporting period - 2655 applications with a total value of EUR 1268.6 million, including EUR 897.9 million in EU funding), of which:</w:t>
      </w:r>
    </w:p>
    <w:p w:rsidR="00A4381A" w:rsidRPr="00B3382F" w:rsidRDefault="00A4381A" w:rsidP="00A4381A">
      <w:pPr>
        <w:numPr>
          <w:ilvl w:val="0"/>
          <w:numId w:val="29"/>
        </w:numPr>
        <w:suppressAutoHyphens/>
        <w:spacing w:before="120" w:after="120" w:line="360" w:lineRule="auto"/>
        <w:ind w:left="709" w:hanging="425"/>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under the ERDF - 1229 applications with a total value of EUR 962.7 million and with EU funding of EUR 653.2 million,</w:t>
      </w:r>
    </w:p>
    <w:p w:rsidR="00A4381A" w:rsidRPr="00B3382F" w:rsidRDefault="00A4381A" w:rsidP="00A4381A">
      <w:pPr>
        <w:numPr>
          <w:ilvl w:val="0"/>
          <w:numId w:val="29"/>
        </w:numPr>
        <w:spacing w:before="120" w:after="120" w:line="360" w:lineRule="auto"/>
        <w:ind w:left="709" w:hanging="425"/>
        <w:jc w:val="both"/>
        <w:rPr>
          <w:rFonts w:ascii="Arial" w:eastAsia="Arial Unicode MS" w:hAnsi="Arial" w:cs="Arial"/>
          <w:sz w:val="18"/>
          <w:szCs w:val="18"/>
          <w:lang w:val="en-GB"/>
        </w:rPr>
      </w:pPr>
      <w:r w:rsidRPr="00B3382F">
        <w:rPr>
          <w:rFonts w:ascii="Arial" w:eastAsia="Arial Unicode MS" w:hAnsi="Arial" w:cs="Arial"/>
          <w:sz w:val="18"/>
          <w:szCs w:val="18"/>
          <w:lang w:val="en-GB"/>
        </w:rPr>
        <w:t xml:space="preserve">under the ESF - 1472 applications </w:t>
      </w:r>
      <w:r w:rsidRPr="00B3382F">
        <w:rPr>
          <w:rFonts w:ascii="Arial" w:eastAsia="Arial Unicode MS" w:hAnsi="Arial" w:cs="Arial"/>
          <w:kern w:val="2"/>
          <w:sz w:val="18"/>
          <w:szCs w:val="18"/>
          <w:lang w:val="en-GB"/>
        </w:rPr>
        <w:t>with a total value of EUR 366.5 million and with EU funding of EUR 293.1 million have been submitted (in 2016 - 1426 applications with a total value of EUR 306 million and with EU funding of EUR 244.7 million).</w:t>
      </w:r>
    </w:p>
    <w:p w:rsidR="00A4381A" w:rsidRPr="00B3382F" w:rsidRDefault="00A4381A" w:rsidP="00A4381A">
      <w:pPr>
        <w:spacing w:before="120" w:after="120" w:line="360" w:lineRule="auto"/>
        <w:jc w:val="both"/>
        <w:rPr>
          <w:rFonts w:ascii="Arial" w:eastAsia="Arial Unicode MS" w:hAnsi="Arial" w:cs="Arial"/>
          <w:sz w:val="18"/>
          <w:szCs w:val="18"/>
          <w:lang w:val="en-GB"/>
        </w:rPr>
      </w:pPr>
      <w:r w:rsidRPr="00B3382F">
        <w:rPr>
          <w:rFonts w:ascii="Arial" w:eastAsia="Arial Unicode MS" w:hAnsi="Arial" w:cs="Arial"/>
          <w:sz w:val="18"/>
          <w:szCs w:val="18"/>
          <w:lang w:val="en-GB"/>
        </w:rPr>
        <w:t>The value of formally correct applications for funding broken down by Priority Axes is presented below.</w:t>
      </w:r>
    </w:p>
    <w:p w:rsidR="00A4381A" w:rsidRPr="00B3382F" w:rsidRDefault="00A4381A" w:rsidP="00A4381A">
      <w:pPr>
        <w:spacing w:before="120" w:after="120" w:line="360" w:lineRule="auto"/>
        <w:jc w:val="both"/>
        <w:rPr>
          <w:rFonts w:ascii="Arial" w:eastAsia="Arial Unicode MS" w:hAnsi="Arial" w:cs="Arial"/>
          <w:sz w:val="18"/>
          <w:szCs w:val="18"/>
          <w:lang w:val="en-GB"/>
        </w:rPr>
      </w:pPr>
    </w:p>
    <w:p w:rsidR="00A4381A" w:rsidRPr="00B3382F" w:rsidRDefault="00A4381A" w:rsidP="00A4381A">
      <w:pPr>
        <w:spacing w:before="120" w:after="120" w:line="360" w:lineRule="auto"/>
        <w:jc w:val="both"/>
        <w:rPr>
          <w:rFonts w:ascii="Arial" w:eastAsia="Arial Unicode MS" w:hAnsi="Arial" w:cs="Arial"/>
          <w:sz w:val="18"/>
          <w:szCs w:val="18"/>
          <w:lang w:val="en-GB"/>
        </w:rPr>
      </w:pPr>
    </w:p>
    <w:p w:rsidR="00A4381A" w:rsidRPr="00B3382F" w:rsidRDefault="00A4381A" w:rsidP="00A4381A">
      <w:pPr>
        <w:spacing w:before="120" w:after="120" w:line="360" w:lineRule="auto"/>
        <w:jc w:val="both"/>
        <w:rPr>
          <w:rFonts w:ascii="Arial" w:eastAsia="Arial Unicode MS" w:hAnsi="Arial" w:cs="Arial"/>
          <w:b/>
          <w:sz w:val="18"/>
          <w:szCs w:val="18"/>
          <w:lang w:val="en-GB"/>
        </w:rPr>
      </w:pPr>
      <w:r w:rsidRPr="00B3382F">
        <w:rPr>
          <w:rFonts w:ascii="Arial" w:eastAsia="Arial Unicode MS" w:hAnsi="Arial" w:cs="Arial"/>
          <w:b/>
          <w:bCs/>
          <w:sz w:val="18"/>
          <w:szCs w:val="18"/>
          <w:lang w:val="en-GB"/>
        </w:rPr>
        <w:t>Figure 1. Value of applications for funding (EU funds in EUR million) – as at December 31st 2016</w:t>
      </w:r>
    </w:p>
    <w:p w:rsidR="00A4381A" w:rsidRPr="00B3382F" w:rsidRDefault="00A4381A" w:rsidP="00A4381A">
      <w:pPr>
        <w:spacing w:before="120" w:after="120" w:line="360" w:lineRule="auto"/>
        <w:jc w:val="both"/>
        <w:rPr>
          <w:rFonts w:ascii="Arial" w:eastAsia="Arial Unicode MS" w:hAnsi="Arial" w:cs="Arial"/>
          <w:sz w:val="18"/>
          <w:szCs w:val="18"/>
          <w:lang w:val="en-GB"/>
        </w:rPr>
      </w:pPr>
      <w:r w:rsidRPr="00B3382F">
        <w:rPr>
          <w:noProof/>
          <w:lang w:eastAsia="pl-PL"/>
        </w:rPr>
        <w:drawing>
          <wp:inline distT="0" distB="0" distL="0" distR="0" wp14:anchorId="66493860" wp14:editId="22049F81">
            <wp:extent cx="5133975" cy="3048000"/>
            <wp:effectExtent l="0" t="0" r="9525"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4381A" w:rsidRPr="00B3382F" w:rsidRDefault="00A4381A" w:rsidP="00A4381A">
      <w:pPr>
        <w:spacing w:before="120" w:after="120" w:line="360" w:lineRule="auto"/>
        <w:jc w:val="both"/>
        <w:rPr>
          <w:rFonts w:ascii="Arial" w:eastAsia="Arial Unicode MS" w:hAnsi="Arial" w:cs="Arial"/>
          <w:sz w:val="18"/>
          <w:szCs w:val="18"/>
          <w:lang w:val="en-GB"/>
        </w:rPr>
      </w:pPr>
    </w:p>
    <w:p w:rsidR="00A4381A" w:rsidRPr="00B3382F" w:rsidRDefault="00A4381A" w:rsidP="00A4381A">
      <w:pPr>
        <w:pStyle w:val="Akapitzlist"/>
        <w:numPr>
          <w:ilvl w:val="0"/>
          <w:numId w:val="30"/>
        </w:numPr>
        <w:spacing w:before="120" w:after="120" w:line="360" w:lineRule="auto"/>
        <w:jc w:val="both"/>
        <w:rPr>
          <w:rFonts w:ascii="Arial" w:eastAsia="Arial Unicode MS" w:hAnsi="Arial" w:cs="Arial"/>
          <w:b/>
          <w:sz w:val="18"/>
          <w:szCs w:val="18"/>
          <w:lang w:val="en-GB"/>
        </w:rPr>
      </w:pPr>
      <w:r w:rsidRPr="00B3382F">
        <w:rPr>
          <w:rFonts w:ascii="Arial" w:eastAsia="Arial Unicode MS" w:hAnsi="Arial" w:cs="Arial"/>
          <w:b/>
          <w:bCs/>
          <w:sz w:val="18"/>
          <w:szCs w:val="18"/>
          <w:lang w:val="en-GB"/>
        </w:rPr>
        <w:t>Funding agreements</w:t>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484 agreements with a total value of EUR 444.9 million and with EU funding of EUR 348.8 million, which accounts for 17.75% of allocation, have been concluded (in the reporting period - 437 agreements with a total value of EUR 420.1 million, including EUR 329 million in EU funding), of which:</w:t>
      </w:r>
    </w:p>
    <w:p w:rsidR="00A4381A" w:rsidRPr="00B3382F" w:rsidRDefault="00A4381A" w:rsidP="00A4381A">
      <w:pPr>
        <w:numPr>
          <w:ilvl w:val="0"/>
          <w:numId w:val="29"/>
        </w:numPr>
        <w:suppressAutoHyphens/>
        <w:spacing w:before="120" w:after="120" w:line="360" w:lineRule="auto"/>
        <w:ind w:left="709" w:hanging="425"/>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under the ERDF - 214 agreements with a total value of EUR 339.4 million and with EU funding of EUR 264.4 million,</w:t>
      </w:r>
    </w:p>
    <w:p w:rsidR="00A4381A" w:rsidRPr="00B3382F" w:rsidRDefault="00A4381A" w:rsidP="00A4381A">
      <w:pPr>
        <w:numPr>
          <w:ilvl w:val="0"/>
          <w:numId w:val="29"/>
        </w:numPr>
        <w:suppressAutoHyphens/>
        <w:spacing w:before="120" w:after="120" w:line="360" w:lineRule="auto"/>
        <w:ind w:left="709" w:hanging="425"/>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 xml:space="preserve">under the ESF - 270 agreements with a total value of EUR 105.5 million and with EU funding of EUR 84.4 million (in 2016 - 223 agreements with a total value of EUR </w:t>
      </w:r>
      <w:r w:rsidR="003E3BCB">
        <w:rPr>
          <w:rFonts w:ascii="Arial" w:eastAsia="Arial Unicode MS" w:hAnsi="Arial" w:cs="Arial"/>
          <w:kern w:val="2"/>
          <w:sz w:val="18"/>
          <w:szCs w:val="18"/>
          <w:lang w:val="en-GB"/>
        </w:rPr>
        <w:t>80,7</w:t>
      </w:r>
      <w:r w:rsidRPr="00B3382F">
        <w:rPr>
          <w:rFonts w:ascii="Arial" w:eastAsia="Arial Unicode MS" w:hAnsi="Arial" w:cs="Arial"/>
          <w:kern w:val="2"/>
          <w:sz w:val="18"/>
          <w:szCs w:val="18"/>
          <w:lang w:val="en-GB"/>
        </w:rPr>
        <w:t xml:space="preserve"> million and with EU funding of EUR </w:t>
      </w:r>
      <w:r w:rsidR="003E3BCB">
        <w:rPr>
          <w:rFonts w:ascii="Arial" w:eastAsia="Arial Unicode MS" w:hAnsi="Arial" w:cs="Arial"/>
          <w:kern w:val="2"/>
          <w:sz w:val="18"/>
          <w:szCs w:val="18"/>
          <w:lang w:val="en-GB"/>
        </w:rPr>
        <w:t>64,6</w:t>
      </w:r>
      <w:r w:rsidRPr="00B3382F">
        <w:rPr>
          <w:rFonts w:ascii="Arial" w:eastAsia="Arial Unicode MS" w:hAnsi="Arial" w:cs="Arial"/>
          <w:kern w:val="2"/>
          <w:sz w:val="18"/>
          <w:szCs w:val="18"/>
          <w:lang w:val="en-GB"/>
        </w:rPr>
        <w:t xml:space="preserve"> million).</w:t>
      </w:r>
    </w:p>
    <w:p w:rsidR="00B47E6C"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The value of the funding agreements concluded broken down by Priority Axes is presented below.</w:t>
      </w:r>
    </w:p>
    <w:p w:rsidR="00A4381A" w:rsidRPr="00B3382F" w:rsidRDefault="00B47E6C" w:rsidP="00A4381A">
      <w:pPr>
        <w:suppressAutoHyphens/>
        <w:spacing w:before="120" w:after="120" w:line="360" w:lineRule="auto"/>
        <w:jc w:val="both"/>
        <w:rPr>
          <w:rFonts w:ascii="Arial" w:eastAsia="Arial Unicode MS" w:hAnsi="Arial" w:cs="Arial"/>
          <w:kern w:val="2"/>
          <w:sz w:val="18"/>
          <w:szCs w:val="18"/>
          <w:lang w:val="en-GB"/>
        </w:rPr>
      </w:pPr>
      <w:r>
        <w:rPr>
          <w:rFonts w:ascii="Arial" w:eastAsia="Arial Unicode MS" w:hAnsi="Arial" w:cs="Arial"/>
          <w:kern w:val="2"/>
          <w:sz w:val="18"/>
          <w:szCs w:val="18"/>
          <w:lang w:val="en-GB"/>
        </w:rPr>
        <w:br w:type="column"/>
      </w:r>
    </w:p>
    <w:p w:rsidR="00A4381A" w:rsidRPr="00B3382F" w:rsidRDefault="00A4381A" w:rsidP="00A4381A">
      <w:pPr>
        <w:suppressAutoHyphens/>
        <w:spacing w:before="120" w:after="120" w:line="360" w:lineRule="auto"/>
        <w:jc w:val="both"/>
        <w:rPr>
          <w:rFonts w:ascii="Arial" w:eastAsia="Arial Unicode MS" w:hAnsi="Arial" w:cs="Arial"/>
          <w:b/>
          <w:kern w:val="2"/>
          <w:sz w:val="18"/>
          <w:szCs w:val="18"/>
          <w:lang w:val="en-GB"/>
        </w:rPr>
      </w:pPr>
      <w:r w:rsidRPr="00B3382F">
        <w:rPr>
          <w:rFonts w:ascii="Arial" w:eastAsia="Arial Unicode MS" w:hAnsi="Arial" w:cs="Arial"/>
          <w:b/>
          <w:bCs/>
          <w:kern w:val="2"/>
          <w:sz w:val="18"/>
          <w:szCs w:val="18"/>
          <w:lang w:val="en-GB"/>
        </w:rPr>
        <w:t>Figure 2. Value of concluded agreements/funding decisions issued (EU funds in EUR million and as a percentage of allocation) as at December 31st 2016.</w:t>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noProof/>
          <w:lang w:eastAsia="pl-PL"/>
        </w:rPr>
        <w:drawing>
          <wp:inline distT="0" distB="0" distL="0" distR="0" wp14:anchorId="48AE0861" wp14:editId="57845FFB">
            <wp:extent cx="5305425" cy="3114675"/>
            <wp:effectExtent l="0" t="0" r="9525" b="952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p>
    <w:p w:rsidR="00A4381A" w:rsidRPr="00B3382F" w:rsidRDefault="00A4381A" w:rsidP="00A4381A">
      <w:pPr>
        <w:pStyle w:val="Akapitzlist"/>
        <w:numPr>
          <w:ilvl w:val="0"/>
          <w:numId w:val="30"/>
        </w:numPr>
        <w:suppressAutoHyphens/>
        <w:spacing w:before="120" w:after="120" w:line="360" w:lineRule="auto"/>
        <w:jc w:val="both"/>
        <w:rPr>
          <w:rFonts w:ascii="Arial" w:eastAsia="Arial Unicode MS" w:hAnsi="Arial" w:cs="Arial"/>
          <w:b/>
          <w:kern w:val="2"/>
          <w:sz w:val="18"/>
          <w:szCs w:val="18"/>
          <w:lang w:val="en-GB"/>
        </w:rPr>
      </w:pPr>
      <w:r w:rsidRPr="00B3382F">
        <w:rPr>
          <w:rFonts w:ascii="Arial" w:eastAsia="Arial Unicode MS" w:hAnsi="Arial" w:cs="Arial"/>
          <w:b/>
          <w:bCs/>
          <w:kern w:val="2"/>
          <w:sz w:val="18"/>
          <w:szCs w:val="18"/>
          <w:lang w:val="en-GB"/>
        </w:rPr>
        <w:t>Expenditure incurred by beneficiaries - payment claims</w:t>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Expenditure claimed by beneficiaries in approved payment claims amounted to EUR 52.5 million, including EUR 38.6 million in EU funding (1.97% of allocation), of which:</w:t>
      </w:r>
    </w:p>
    <w:p w:rsidR="00A4381A" w:rsidRPr="00B3382F" w:rsidRDefault="00A4381A" w:rsidP="00A4381A">
      <w:pPr>
        <w:numPr>
          <w:ilvl w:val="0"/>
          <w:numId w:val="29"/>
        </w:numPr>
        <w:suppressAutoHyphens/>
        <w:spacing w:before="120" w:after="120" w:line="360" w:lineRule="auto"/>
        <w:ind w:left="709" w:hanging="425"/>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under the ERDF - a total of EUR 23.1 million, including EUR 15.4 million in EU funding,</w:t>
      </w:r>
    </w:p>
    <w:p w:rsidR="00A4381A" w:rsidRPr="00B3382F" w:rsidRDefault="00A4381A" w:rsidP="00A4381A">
      <w:pPr>
        <w:numPr>
          <w:ilvl w:val="0"/>
          <w:numId w:val="29"/>
        </w:numPr>
        <w:suppressAutoHyphens/>
        <w:spacing w:before="120" w:after="120" w:line="360" w:lineRule="auto"/>
        <w:ind w:left="709" w:hanging="425"/>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under the ESF - a total of EUR 29.3 million, including EUR 23.3 million in EU funding.</w:t>
      </w:r>
    </w:p>
    <w:p w:rsidR="00A4381A" w:rsidRPr="00B3382F" w:rsidRDefault="00A4381A" w:rsidP="00A4381A">
      <w:pPr>
        <w:suppressAutoHyphens/>
        <w:spacing w:before="120" w:after="120" w:line="360" w:lineRule="auto"/>
        <w:ind w:left="720"/>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The aforementioned expenditure shown in 2016 related to the following Priority Axes:</w:t>
      </w:r>
    </w:p>
    <w:p w:rsidR="00A4381A" w:rsidRPr="00B3382F" w:rsidRDefault="00A4381A" w:rsidP="00A4381A">
      <w:pPr>
        <w:pStyle w:val="Akapitzlist"/>
        <w:numPr>
          <w:ilvl w:val="0"/>
          <w:numId w:val="31"/>
        </w:num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PA 1 - a total of EUR 0.05 million, including EUR 0.03 million in EU funding (0.01% of allocation),</w:t>
      </w:r>
    </w:p>
    <w:p w:rsidR="00A4381A" w:rsidRPr="00B3382F" w:rsidRDefault="00A4381A" w:rsidP="00A4381A">
      <w:pPr>
        <w:pStyle w:val="Akapitzlist"/>
        <w:numPr>
          <w:ilvl w:val="0"/>
          <w:numId w:val="31"/>
        </w:num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PA 2 - a total of EUR 2.4 million, including EUR 1.9 million in EU funding (1.33% of allocation),</w:t>
      </w:r>
    </w:p>
    <w:p w:rsidR="00A4381A" w:rsidRPr="00B3382F" w:rsidRDefault="00A4381A" w:rsidP="00A4381A">
      <w:pPr>
        <w:pStyle w:val="Akapitzlist"/>
        <w:numPr>
          <w:ilvl w:val="0"/>
          <w:numId w:val="31"/>
        </w:num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PA 7 - a total of EUR 20.7 million, including EUR 13.4 million in EU funding (3.89% of allocation),</w:t>
      </w:r>
    </w:p>
    <w:p w:rsidR="00A4381A" w:rsidRPr="00B3382F" w:rsidRDefault="00A4381A" w:rsidP="00A4381A">
      <w:pPr>
        <w:pStyle w:val="Akapitzlist"/>
        <w:numPr>
          <w:ilvl w:val="0"/>
          <w:numId w:val="31"/>
        </w:num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PA 8 - a total of EUR 20.7 million, including EUR 16.4 million in EU funding (12.78% of allocation),</w:t>
      </w:r>
    </w:p>
    <w:p w:rsidR="00A4381A" w:rsidRPr="00B3382F" w:rsidRDefault="00A4381A" w:rsidP="00A4381A">
      <w:pPr>
        <w:pStyle w:val="Akapitzlist"/>
        <w:numPr>
          <w:ilvl w:val="0"/>
          <w:numId w:val="31"/>
        </w:num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PA 9 - a total of EUR 0.7 million, including EUR 0.5 million in EU funding (0.31% of allocation),</w:t>
      </w:r>
    </w:p>
    <w:p w:rsidR="00A4381A" w:rsidRPr="00B3382F" w:rsidRDefault="00A4381A" w:rsidP="00A4381A">
      <w:pPr>
        <w:pStyle w:val="Akapitzlist"/>
        <w:numPr>
          <w:ilvl w:val="0"/>
          <w:numId w:val="31"/>
        </w:num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PA 10 - a total of EUR 1.6 million, including EUR 1.3 million in EU funding (0.85% of allocation),</w:t>
      </w:r>
    </w:p>
    <w:p w:rsidR="00A4381A" w:rsidRPr="00B3382F" w:rsidRDefault="00A4381A" w:rsidP="00A4381A">
      <w:pPr>
        <w:pStyle w:val="Akapitzlist"/>
        <w:numPr>
          <w:ilvl w:val="0"/>
          <w:numId w:val="31"/>
        </w:num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PA 11 - a total of EUR 6.3 million, including EUR 5.1 million in EU funding (6.96% of allocation),</w:t>
      </w:r>
    </w:p>
    <w:p w:rsidR="00A4381A" w:rsidRPr="00B3382F" w:rsidRDefault="00A4381A" w:rsidP="00A4381A">
      <w:pPr>
        <w:suppressAutoHyphens/>
        <w:spacing w:before="120"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 xml:space="preserve">In 2016 and in the entire implementation period, the Certifying Authority approved applications for a total amount of funding of EUR </w:t>
      </w:r>
      <w:r w:rsidR="00A03DDC">
        <w:rPr>
          <w:rFonts w:ascii="Arial" w:eastAsia="Arial Unicode MS" w:hAnsi="Arial" w:cs="Arial"/>
          <w:kern w:val="2"/>
          <w:sz w:val="18"/>
          <w:szCs w:val="18"/>
          <w:lang w:val="en-GB"/>
        </w:rPr>
        <w:t>37,1</w:t>
      </w:r>
      <w:r w:rsidRPr="00B3382F">
        <w:rPr>
          <w:rFonts w:ascii="Arial" w:eastAsia="Arial Unicode MS" w:hAnsi="Arial" w:cs="Arial"/>
          <w:kern w:val="2"/>
          <w:sz w:val="18"/>
          <w:szCs w:val="18"/>
          <w:lang w:val="en-GB"/>
        </w:rPr>
        <w:t xml:space="preserve"> million, including EUR 15.1 million (1.04% of allocation) under the ERDF and EUR </w:t>
      </w:r>
      <w:r w:rsidR="00A03DDC">
        <w:rPr>
          <w:rFonts w:ascii="Arial" w:eastAsia="Arial Unicode MS" w:hAnsi="Arial" w:cs="Arial"/>
          <w:kern w:val="2"/>
          <w:sz w:val="18"/>
          <w:szCs w:val="18"/>
          <w:lang w:val="en-GB"/>
        </w:rPr>
        <w:t>22,0</w:t>
      </w:r>
      <w:r w:rsidRPr="00B3382F">
        <w:rPr>
          <w:rFonts w:ascii="Arial" w:eastAsia="Arial Unicode MS" w:hAnsi="Arial" w:cs="Arial"/>
          <w:kern w:val="2"/>
          <w:sz w:val="18"/>
          <w:szCs w:val="18"/>
          <w:lang w:val="en-GB"/>
        </w:rPr>
        <w:t xml:space="preserve"> million (4.</w:t>
      </w:r>
      <w:r w:rsidR="00A03DDC">
        <w:rPr>
          <w:rFonts w:ascii="Arial" w:eastAsia="Arial Unicode MS" w:hAnsi="Arial" w:cs="Arial"/>
          <w:kern w:val="2"/>
          <w:sz w:val="18"/>
          <w:szCs w:val="18"/>
          <w:lang w:val="en-GB"/>
        </w:rPr>
        <w:t xml:space="preserve">29 </w:t>
      </w:r>
      <w:r w:rsidRPr="00B3382F">
        <w:rPr>
          <w:rFonts w:ascii="Arial" w:eastAsia="Arial Unicode MS" w:hAnsi="Arial" w:cs="Arial"/>
          <w:kern w:val="2"/>
          <w:sz w:val="18"/>
          <w:szCs w:val="18"/>
          <w:lang w:val="en-GB"/>
        </w:rPr>
        <w:t>% of allocation) under the ESF.</w:t>
      </w:r>
    </w:p>
    <w:p w:rsidR="00A4381A" w:rsidRPr="00B3382F" w:rsidRDefault="00A4381A" w:rsidP="00A4381A">
      <w:pPr>
        <w:pStyle w:val="Akapitzlist"/>
        <w:numPr>
          <w:ilvl w:val="0"/>
          <w:numId w:val="32"/>
        </w:numPr>
        <w:suppressAutoHyphens/>
        <w:spacing w:before="120" w:after="120" w:line="360" w:lineRule="auto"/>
        <w:jc w:val="both"/>
        <w:rPr>
          <w:rFonts w:ascii="Arial" w:eastAsia="Calibri" w:hAnsi="Arial" w:cs="Arial"/>
          <w:b/>
          <w:sz w:val="18"/>
          <w:szCs w:val="18"/>
          <w:lang w:val="en-GB"/>
        </w:rPr>
      </w:pPr>
      <w:r w:rsidRPr="00B3382F">
        <w:rPr>
          <w:rFonts w:ascii="Arial" w:eastAsia="Calibri" w:hAnsi="Arial" w:cs="Arial"/>
          <w:b/>
          <w:bCs/>
          <w:sz w:val="18"/>
          <w:szCs w:val="18"/>
          <w:lang w:val="en-GB"/>
        </w:rPr>
        <w:t>Projects under financial instruments</w:t>
      </w:r>
    </w:p>
    <w:p w:rsidR="00A4381A" w:rsidRPr="00B3382F" w:rsidRDefault="00A4381A" w:rsidP="00A4381A">
      <w:pPr>
        <w:suppressAutoHyphens/>
        <w:spacing w:before="120" w:after="120" w:line="360" w:lineRule="auto"/>
        <w:jc w:val="both"/>
        <w:rPr>
          <w:rFonts w:ascii="Arial" w:eastAsia="Calibri" w:hAnsi="Arial" w:cs="Arial"/>
          <w:sz w:val="18"/>
          <w:szCs w:val="18"/>
          <w:lang w:val="en-GB"/>
        </w:rPr>
      </w:pPr>
      <w:r w:rsidRPr="00B3382F">
        <w:rPr>
          <w:rFonts w:ascii="Arial" w:eastAsia="Calibri" w:hAnsi="Arial" w:cs="Arial"/>
          <w:sz w:val="18"/>
          <w:szCs w:val="18"/>
          <w:lang w:val="en-GB"/>
        </w:rPr>
        <w:t>As of December 31st 2016, 3 funding agreements for projects under financial instruments were concluded with the European Investment Bank for a total amount of funding of EUR 52.5 million (measures 4.1, 4.2 and 6.2). A total amount of EUR 13.1 million was allocated to the projects, which accounts for 25% of the value of the agreements.</w:t>
      </w:r>
    </w:p>
    <w:p w:rsidR="00A4381A" w:rsidRPr="00B3382F" w:rsidRDefault="00A4381A" w:rsidP="00A4381A">
      <w:pPr>
        <w:suppressAutoHyphens/>
        <w:spacing w:before="120" w:after="0" w:line="360" w:lineRule="auto"/>
        <w:ind w:firstLine="709"/>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Since the launch of the 2014-2020 ROP of the Mazovia Province, 6 competitive calls for proposals for a total amount of EUR 83.3 million, including EUR 82.6 million in EU funding, have been organised under the Integrated Territorial Investments. Three calls for proposals for a total amount of EUR 74.6 million in EU funding were organised under the ERDF and three calls for proposals for a total amount of EUR 8.1 million in EU funding were organised under the ESF. Two projects under restricted calls for proposals, with a total estimated value of EU funding of EUR 18.2 million, for which no applications for funding had been submitted, were identified for Sub-measures 2.1.2 and 3.2.1 in the Detailed Description of Priority Axes under the 2014-2020 ROP of the Mazovia Province. The main objective of the identified projects is to promote the region and its economy under the Integrated Territorial Investments and to execute tasks relating to e-services for Mazovia under the Integrated Territorial Investments. The total funding provided for the implementation of the projects under competitive calls for proposals and the identified projects under restricted calls for proposals totalled EUR 100.9 million, i.e. 64.83% of the allocation (without the PR) for projects implemented under the Integrated Territorial Investments.</w:t>
      </w:r>
    </w:p>
    <w:p w:rsidR="00A4381A" w:rsidRPr="00B3382F" w:rsidRDefault="00A4381A" w:rsidP="00A4381A">
      <w:pPr>
        <w:suppressAutoHyphens/>
        <w:spacing w:after="120" w:line="360" w:lineRule="auto"/>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By the end of 2016, 9 competitive calls for proposals for a total amount of funding of EUR 180.5 million were organised under the Regional Territorial Investments. In response to the calls, beneficiaries submitted 62 applications for a total amount of funding from the ERDF of EUR 175.4 million, of which 12 applications for a total amount of EUR 50.7 million were approved for funding.</w:t>
      </w:r>
    </w:p>
    <w:p w:rsidR="00A4381A" w:rsidRPr="00B3382F" w:rsidRDefault="00A4381A" w:rsidP="00A4381A">
      <w:pPr>
        <w:tabs>
          <w:tab w:val="num" w:pos="567"/>
        </w:tabs>
        <w:spacing w:after="0" w:line="360" w:lineRule="auto"/>
        <w:jc w:val="both"/>
        <w:rPr>
          <w:rFonts w:ascii="Arial" w:hAnsi="Arial" w:cs="Arial"/>
          <w:sz w:val="18"/>
          <w:szCs w:val="18"/>
          <w:lang w:val="en-GB"/>
        </w:rPr>
      </w:pPr>
    </w:p>
    <w:p w:rsidR="00A4381A" w:rsidRPr="00B3382F" w:rsidRDefault="00A4381A" w:rsidP="00A4381A">
      <w:pPr>
        <w:tabs>
          <w:tab w:val="num" w:pos="567"/>
        </w:tabs>
        <w:spacing w:after="0" w:line="360" w:lineRule="auto"/>
        <w:jc w:val="both"/>
        <w:rPr>
          <w:rFonts w:ascii="Arial" w:hAnsi="Arial" w:cs="Arial"/>
          <w:sz w:val="18"/>
          <w:szCs w:val="18"/>
          <w:lang w:val="en-GB"/>
        </w:rPr>
      </w:pPr>
      <w:r w:rsidRPr="00B3382F">
        <w:rPr>
          <w:rFonts w:ascii="Arial" w:hAnsi="Arial" w:cs="Arial"/>
          <w:sz w:val="18"/>
          <w:szCs w:val="18"/>
          <w:lang w:val="en-GB"/>
        </w:rPr>
        <w:t>Based on the analysis of the calls organised, projects selected for funding and concluded agreements, the following risks to the achievement of milestones under the following Priority Axes were identified:</w:t>
      </w:r>
    </w:p>
    <w:p w:rsidR="00A4381A" w:rsidRPr="00B3382F" w:rsidRDefault="00A4381A" w:rsidP="00A4381A">
      <w:pPr>
        <w:pStyle w:val="Akapitzlist"/>
        <w:numPr>
          <w:ilvl w:val="0"/>
          <w:numId w:val="33"/>
        </w:numPr>
        <w:spacing w:after="0" w:line="360" w:lineRule="auto"/>
        <w:jc w:val="both"/>
        <w:rPr>
          <w:rFonts w:ascii="Arial" w:hAnsi="Arial" w:cs="Arial"/>
          <w:sz w:val="18"/>
          <w:szCs w:val="18"/>
          <w:lang w:val="en-GB"/>
        </w:rPr>
      </w:pPr>
      <w:r w:rsidRPr="00B3382F">
        <w:rPr>
          <w:rFonts w:ascii="Arial" w:hAnsi="Arial" w:cs="Arial"/>
          <w:sz w:val="18"/>
          <w:szCs w:val="18"/>
          <w:lang w:val="en-GB"/>
        </w:rPr>
        <w:t>PA 3 - there is not much interest in the RPMA.03.01.02-IP.01-14-023/16 call for proposals relating to support for the operation and development of enterprises provided in the form of consultation vouchers; it was originally planned that 301 enterprises would be provided with support totalling EUR 5 million. However, support totalling EUR 0.6 million will be provided to 45 enterprises. Moreover, it was assumed that the activation of support using repayable instruments would be an essential element in achieving the targets set in the performance framework. As a result of the legislative changes introduced, it will probably not be possible to mobilise funds in sufficient time to enable the achievement of the performance framework targets. The Managing Authority undertakes a number of actions to achieve the performance framework targets in a different manner than originally assumed,</w:t>
      </w:r>
    </w:p>
    <w:p w:rsidR="00A4381A" w:rsidRPr="00B3382F" w:rsidRDefault="00A4381A" w:rsidP="00A4381A">
      <w:pPr>
        <w:pStyle w:val="Akapitzlist"/>
        <w:numPr>
          <w:ilvl w:val="0"/>
          <w:numId w:val="33"/>
        </w:numPr>
        <w:spacing w:after="0" w:line="360" w:lineRule="auto"/>
        <w:jc w:val="both"/>
        <w:rPr>
          <w:rFonts w:ascii="Arial" w:hAnsi="Arial" w:cs="Arial"/>
          <w:sz w:val="18"/>
          <w:szCs w:val="18"/>
          <w:lang w:val="en-GB"/>
        </w:rPr>
      </w:pPr>
      <w:r w:rsidRPr="00B3382F">
        <w:rPr>
          <w:rFonts w:ascii="Arial" w:hAnsi="Arial" w:cs="Arial"/>
          <w:sz w:val="18"/>
          <w:szCs w:val="18"/>
          <w:lang w:val="en-GB"/>
        </w:rPr>
        <w:t>PA 5 - the risk relates to milestones relating to Separate Municipal Waste Collection Points. Even though the call relating to the aforementioned investments ended, it is not possible to sign funding agreements due to the annulment of the resolution approving the Waste Management Plan for the Mazovia Province,</w:t>
      </w:r>
    </w:p>
    <w:p w:rsidR="00A4381A" w:rsidRPr="00B3382F" w:rsidRDefault="00A4381A" w:rsidP="00A4381A">
      <w:pPr>
        <w:pStyle w:val="Akapitzlist"/>
        <w:numPr>
          <w:ilvl w:val="0"/>
          <w:numId w:val="33"/>
        </w:numPr>
        <w:spacing w:after="0" w:line="360" w:lineRule="auto"/>
        <w:jc w:val="both"/>
        <w:rPr>
          <w:rFonts w:ascii="Arial" w:hAnsi="Arial" w:cs="Arial"/>
          <w:sz w:val="18"/>
          <w:szCs w:val="18"/>
          <w:lang w:val="en-GB"/>
        </w:rPr>
      </w:pPr>
      <w:r w:rsidRPr="00B3382F">
        <w:rPr>
          <w:rFonts w:ascii="Arial" w:hAnsi="Arial" w:cs="Arial"/>
          <w:sz w:val="18"/>
          <w:szCs w:val="18"/>
          <w:lang w:val="en-GB"/>
        </w:rPr>
        <w:t>PA 9 - insufficient interest among beneficiaries in applying for funding and low quality of the projects submitted. An analysis of reasons for negative decisions on applications (analysis of the criteria that the applicants found it most difficult to fulfil and that were the reason why certain applications were rejected) was carried out to make preparations to re-run the calls. A survey was conducted among Social Welfare Centres to obtain information on barriers to the implementation of projects co-funded from the ESF and to build up a better picture of expectations in this respect. Additional information and promotion measures as well as training activities have been planned. It is planned that the calls will be re-run based on the updated criteria.</w:t>
      </w:r>
    </w:p>
    <w:p w:rsidR="00A4381A" w:rsidRPr="00B3382F" w:rsidRDefault="00A4381A" w:rsidP="00A4381A">
      <w:pPr>
        <w:pStyle w:val="Akapitzlist"/>
        <w:numPr>
          <w:ilvl w:val="0"/>
          <w:numId w:val="33"/>
        </w:numPr>
        <w:spacing w:after="0" w:line="360" w:lineRule="auto"/>
        <w:jc w:val="both"/>
        <w:rPr>
          <w:rFonts w:ascii="Arial" w:hAnsi="Arial" w:cs="Arial"/>
          <w:sz w:val="18"/>
          <w:szCs w:val="18"/>
          <w:lang w:val="en-GB"/>
        </w:rPr>
      </w:pPr>
      <w:r w:rsidRPr="00B3382F">
        <w:rPr>
          <w:rFonts w:ascii="Arial" w:hAnsi="Arial" w:cs="Arial"/>
          <w:sz w:val="18"/>
          <w:szCs w:val="18"/>
          <w:lang w:val="en-GB"/>
        </w:rPr>
        <w:t>PA 10 - the biggest risk of not attaining the targets set was identified for competitive calls for proposals relating to the professional development of students, educational guidance and career counselling as well as the improvement of the professional skills and competences of vocational teachers and trainers for practical vocational training, which do not attract much interest. This is due, among others, to the lack of knowledge among managing bodies and schools about the specificities of the support. Schools are not interested in participating in projects. A survey on the causes of this situation carried out by the Managing Authority among districts pointed to such problems as staff shortages, lack of experience, lack of motivation to apply for funding, impossibility of securing own contribution and impossibility of continuing ongoing project activities. In May 2017 a “comprehensive” competitive call for proposals will be organised, in which projects will cover all the operations foreseen under Sub-measure 10.3.1. Such a form of the call will reduce the burden on applicants related to application procedures.</w:t>
      </w:r>
    </w:p>
    <w:p w:rsidR="00A4381A" w:rsidRPr="00B3382F" w:rsidRDefault="00A4381A" w:rsidP="00A4381A">
      <w:pPr>
        <w:tabs>
          <w:tab w:val="num" w:pos="567"/>
        </w:tabs>
        <w:spacing w:after="0" w:line="360" w:lineRule="auto"/>
        <w:jc w:val="both"/>
        <w:rPr>
          <w:rFonts w:ascii="Arial" w:hAnsi="Arial" w:cs="Arial"/>
          <w:sz w:val="18"/>
          <w:szCs w:val="18"/>
          <w:lang w:val="en-GB"/>
        </w:rPr>
      </w:pPr>
    </w:p>
    <w:p w:rsidR="00A4381A" w:rsidRPr="00B3382F" w:rsidRDefault="00A4381A" w:rsidP="00A4381A">
      <w:pPr>
        <w:tabs>
          <w:tab w:val="num" w:pos="567"/>
        </w:tabs>
        <w:spacing w:after="0" w:line="360" w:lineRule="auto"/>
        <w:jc w:val="both"/>
        <w:rPr>
          <w:rFonts w:ascii="Arial" w:hAnsi="Arial" w:cs="Arial"/>
          <w:sz w:val="18"/>
          <w:szCs w:val="18"/>
          <w:lang w:val="en-GB"/>
        </w:rPr>
      </w:pPr>
      <w:r w:rsidRPr="00B3382F">
        <w:rPr>
          <w:lang w:val="en-GB"/>
        </w:rPr>
        <w:tab/>
      </w:r>
      <w:r w:rsidRPr="00B3382F">
        <w:rPr>
          <w:rFonts w:ascii="Arial" w:hAnsi="Arial" w:cs="Arial"/>
          <w:sz w:val="18"/>
          <w:szCs w:val="18"/>
          <w:lang w:val="en-GB"/>
        </w:rPr>
        <w:t>As regards the issues that affect the performance of the Programme and the actions taken:</w:t>
      </w:r>
    </w:p>
    <w:p w:rsidR="00A4381A" w:rsidRPr="00B3382F" w:rsidRDefault="00A4381A" w:rsidP="00A4381A">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val="en-GB"/>
        </w:rPr>
      </w:pPr>
      <w:r w:rsidRPr="00B3382F">
        <w:rPr>
          <w:rFonts w:ascii="Arial" w:hAnsi="Arial" w:cs="Arial"/>
          <w:sz w:val="18"/>
          <w:szCs w:val="18"/>
          <w:lang w:val="en-GB"/>
        </w:rPr>
        <w:t xml:space="preserve">There are no </w:t>
      </w:r>
      <w:r w:rsidRPr="00B3382F">
        <w:rPr>
          <w:rFonts w:ascii="Arial" w:hAnsi="Arial" w:cs="Arial"/>
          <w:kern w:val="2"/>
          <w:sz w:val="18"/>
          <w:szCs w:val="18"/>
          <w:lang w:val="en-GB"/>
        </w:rPr>
        <w:t>definitive legal solutions relating to the validation of qualifications in projects co-funded under the ESF,</w:t>
      </w:r>
    </w:p>
    <w:p w:rsidR="00A4381A" w:rsidRPr="00B3382F" w:rsidRDefault="00A4381A" w:rsidP="00A4381A">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As regards Measure 9.3, withdrawal by the Minister of Family, Labour and Social Policy of accreditation of Social Economy Support Centres, as a result of which the project selection criteria for the February 2016 competitive call for proposals had to be modified and the signing of agreements was postponed until the Social Economy Support Centres obtained new accreditation.</w:t>
      </w:r>
    </w:p>
    <w:p w:rsidR="00A4381A" w:rsidRPr="00B3382F" w:rsidRDefault="00A4381A" w:rsidP="00A4381A">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Implementation of government programmes that compete with actions under the 2014-2020 Regional Operational Programme of the Mazovia Province: the “Family assistant and foster care coordinator” Programme and the second edition of the “2016 Family Assistant Programme” for communes and districts - which compete with Measure 9.1; 2015-2020 Multiannual Programme “Senior-WIGOR” for local government units and the “Government programme for senior citizens’ social activity for the years 2014-2020” - 2016 edition - which compete with Measure 9.2.1,</w:t>
      </w:r>
    </w:p>
    <w:p w:rsidR="00A4381A" w:rsidRPr="00B3382F" w:rsidRDefault="00A4381A" w:rsidP="00A4381A">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The amendments which are currently being introduced to the act on the education system cause uncertainty among potential applicants about the operation of the education system after the reform. As a result, there is less interest in the calls organised under Priority Axis 10 than expected and, consequently, fewer agreements are signed and the take-up of the funding allocated under calls for proposals is insufficient. There are doubts as to such issues as the sustainability of investments, lack of an up-to-date assessment of the situation of schools implementing the projects; provision of funding to schools with poor educational outcomes – once two schools are merged, information about their educational outcomes will become obsolete. As a result, the physical and financial progress targets may not be achieved.</w:t>
      </w:r>
    </w:p>
    <w:p w:rsidR="00A4381A" w:rsidRPr="00B3382F" w:rsidRDefault="00A4381A" w:rsidP="00A4381A">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The low interest in the calls organised results in a low take-up of the funding allocated,</w:t>
      </w:r>
    </w:p>
    <w:p w:rsidR="00A4381A" w:rsidRPr="00B3382F" w:rsidRDefault="00A4381A" w:rsidP="00A4381A">
      <w:pPr>
        <w:pStyle w:val="Akapitzlist"/>
        <w:numPr>
          <w:ilvl w:val="0"/>
          <w:numId w:val="28"/>
        </w:numPr>
        <w:tabs>
          <w:tab w:val="num" w:pos="567"/>
        </w:tabs>
        <w:spacing w:after="0" w:line="360" w:lineRule="auto"/>
        <w:ind w:left="567" w:hanging="283"/>
        <w:jc w:val="both"/>
        <w:rPr>
          <w:rFonts w:ascii="Arial" w:eastAsia="Arial Unicode MS" w:hAnsi="Arial" w:cs="Arial"/>
          <w:kern w:val="2"/>
          <w:sz w:val="18"/>
          <w:szCs w:val="18"/>
          <w:lang w:val="en-GB"/>
        </w:rPr>
      </w:pPr>
      <w:r w:rsidRPr="00B3382F">
        <w:rPr>
          <w:rFonts w:ascii="Arial" w:eastAsia="Arial Unicode MS" w:hAnsi="Arial" w:cs="Arial"/>
          <w:kern w:val="2"/>
          <w:sz w:val="18"/>
          <w:szCs w:val="18"/>
          <w:lang w:val="en-GB"/>
        </w:rPr>
        <w:t>The quality of the submitted projects is low, which leads to the limited achievement of the physical and financial progress targets under the aforementioned investment priorities.</w:t>
      </w:r>
    </w:p>
    <w:p w:rsidR="00A4381A" w:rsidRPr="00B3382F" w:rsidRDefault="00A4381A" w:rsidP="00A4381A">
      <w:pPr>
        <w:kinsoku w:val="0"/>
        <w:overflowPunct w:val="0"/>
        <w:spacing w:after="0" w:line="360" w:lineRule="auto"/>
        <w:jc w:val="both"/>
        <w:textAlignment w:val="baseline"/>
        <w:rPr>
          <w:rFonts w:ascii="Arial" w:eastAsia="Calibri" w:hAnsi="Arial" w:cs="Arial"/>
          <w:bCs/>
          <w:sz w:val="18"/>
          <w:szCs w:val="18"/>
          <w:lang w:val="en-GB"/>
        </w:rPr>
      </w:pPr>
      <w:r w:rsidRPr="00B3382F">
        <w:rPr>
          <w:rFonts w:ascii="Arial" w:eastAsia="Calibri" w:hAnsi="Arial" w:cs="Arial"/>
          <w:sz w:val="18"/>
          <w:szCs w:val="18"/>
          <w:lang w:val="en-GB"/>
        </w:rPr>
        <w:t>As regards the action plan for improving the effectiveness and accelerating the implementation of programmes under the 2014-2020 Partnership Agreement: the degree of achievement of the milestones and targets set is monitored on a monthly basis by the Managing Authority of the ROP of the Mazovia Province, a complete Detailed Description of Priority Axes for the 2014-2020 ROP of the Mazovia Province was adopted, all general project selection criteria for the 2014-2020 ROP of the Mazovia Province were adopted, the development of the planned institutional system under the 2014-2020 ROP of the Mazovia Province was completed, the designation process for the 2014-2020 ROP of the Mazovia Province was completed, a monitoring system of projects under restricted calls for proposals was implemented, all conditions that have to be met in order to ensure an adequate take-up of the funding allocated and an adequate level of achievement of targets were identified.</w:t>
      </w:r>
    </w:p>
    <w:p w:rsidR="00A4381A" w:rsidRPr="00B3382F" w:rsidRDefault="00A4381A" w:rsidP="00A4381A">
      <w:pPr>
        <w:spacing w:after="0" w:line="360" w:lineRule="auto"/>
        <w:ind w:firstLine="360"/>
        <w:jc w:val="both"/>
        <w:rPr>
          <w:rFonts w:ascii="Arial" w:eastAsia="Calibri" w:hAnsi="Arial" w:cs="Arial"/>
          <w:sz w:val="18"/>
          <w:szCs w:val="18"/>
          <w:lang w:val="en-GB"/>
        </w:rPr>
      </w:pPr>
      <w:r w:rsidRPr="00B3382F">
        <w:rPr>
          <w:rFonts w:ascii="Arial" w:eastAsia="Calibri" w:hAnsi="Arial" w:cs="Arial"/>
          <w:sz w:val="18"/>
          <w:szCs w:val="18"/>
          <w:lang w:val="en-GB"/>
        </w:rPr>
        <w:t>In 2016 two studies included in the Evaluation Plan for the 2014-2020 ROP of the Mazovia Province were launched at the request of the Self-government of the Province, i.e.:</w:t>
      </w:r>
    </w:p>
    <w:p w:rsidR="00A4381A" w:rsidRPr="00B3382F" w:rsidRDefault="00A4381A" w:rsidP="00A4381A">
      <w:pPr>
        <w:numPr>
          <w:ilvl w:val="0"/>
          <w:numId w:val="34"/>
        </w:numPr>
        <w:spacing w:after="0" w:line="360" w:lineRule="auto"/>
        <w:contextualSpacing/>
        <w:jc w:val="both"/>
        <w:rPr>
          <w:rFonts w:ascii="Arial" w:eastAsia="Calibri" w:hAnsi="Arial" w:cs="Arial"/>
          <w:sz w:val="18"/>
          <w:szCs w:val="18"/>
          <w:lang w:val="en-GB"/>
        </w:rPr>
      </w:pPr>
      <w:r w:rsidRPr="00B3382F">
        <w:rPr>
          <w:rFonts w:ascii="Arial" w:eastAsia="Calibri" w:hAnsi="Arial" w:cs="Arial"/>
          <w:sz w:val="18"/>
          <w:szCs w:val="18"/>
          <w:lang w:val="en-GB"/>
        </w:rPr>
        <w:t>A study titled ”</w:t>
      </w:r>
      <w:r w:rsidRPr="00B3382F">
        <w:rPr>
          <w:rFonts w:ascii="Arial" w:eastAsia="Calibri" w:hAnsi="Arial" w:cs="Arial"/>
          <w:i/>
          <w:iCs/>
          <w:sz w:val="18"/>
          <w:szCs w:val="18"/>
          <w:lang w:val="en-GB"/>
        </w:rPr>
        <w:t>Assessment of the usefulness of research agendas in research and development projects under the 2014-2020 ROP of the Mazovia Province”</w:t>
      </w:r>
    </w:p>
    <w:p w:rsidR="00A4381A" w:rsidRPr="00B3382F" w:rsidRDefault="00A4381A" w:rsidP="00A4381A">
      <w:pPr>
        <w:spacing w:after="0" w:line="360" w:lineRule="auto"/>
        <w:jc w:val="both"/>
        <w:rPr>
          <w:rFonts w:ascii="Arial" w:eastAsia="Calibri" w:hAnsi="Arial" w:cs="Arial"/>
          <w:sz w:val="18"/>
          <w:szCs w:val="18"/>
          <w:lang w:val="en-GB"/>
        </w:rPr>
      </w:pPr>
      <w:r w:rsidRPr="00B3382F">
        <w:rPr>
          <w:rFonts w:ascii="Arial" w:eastAsia="Calibri" w:hAnsi="Arial" w:cs="Arial"/>
          <w:sz w:val="18"/>
          <w:szCs w:val="18"/>
          <w:lang w:val="en-GB"/>
        </w:rPr>
        <w:t>The evaluation was carried out in relation to the need to target support towards areas identified based on a smart specialisation approach for Mazovia and the need to specify them further by identifying priority areas of research (research agendas) in an entrepreneurial discovery process. The study will enable an analysis of the usefulness of research agendas and support measures under the 2014-2020 ROP of the Mazovia Province and their effectiveness with respect to the planned concentration of support. The results of the study will make it possible to target support for enterprises under the planned competitive calls for proposals.</w:t>
      </w:r>
    </w:p>
    <w:p w:rsidR="00A4381A" w:rsidRPr="00B3382F" w:rsidRDefault="00A4381A" w:rsidP="00A4381A">
      <w:pPr>
        <w:numPr>
          <w:ilvl w:val="0"/>
          <w:numId w:val="34"/>
        </w:numPr>
        <w:spacing w:after="0" w:line="360" w:lineRule="auto"/>
        <w:contextualSpacing/>
        <w:jc w:val="both"/>
        <w:rPr>
          <w:rFonts w:ascii="Arial" w:eastAsia="Calibri" w:hAnsi="Arial" w:cs="Arial"/>
          <w:sz w:val="18"/>
          <w:szCs w:val="18"/>
          <w:lang w:val="en-GB"/>
        </w:rPr>
      </w:pPr>
      <w:r w:rsidRPr="00B3382F">
        <w:rPr>
          <w:rFonts w:ascii="Arial" w:eastAsia="Calibri" w:hAnsi="Arial" w:cs="Arial"/>
          <w:sz w:val="18"/>
          <w:szCs w:val="18"/>
          <w:lang w:val="en-GB"/>
        </w:rPr>
        <w:t>A study titled “</w:t>
      </w:r>
      <w:r w:rsidRPr="00B3382F">
        <w:rPr>
          <w:rFonts w:ascii="Arial" w:eastAsia="Calibri" w:hAnsi="Arial" w:cs="Arial"/>
          <w:i/>
          <w:iCs/>
          <w:sz w:val="18"/>
          <w:szCs w:val="18"/>
          <w:lang w:val="en-GB"/>
        </w:rPr>
        <w:t>Ex post evaluation of the performance of 2007-2013 ROP of the Mazovia Province</w:t>
      </w:r>
      <w:r w:rsidRPr="00B3382F">
        <w:rPr>
          <w:rFonts w:ascii="Arial" w:eastAsia="Calibri" w:hAnsi="Arial" w:cs="Arial"/>
          <w:sz w:val="18"/>
          <w:szCs w:val="18"/>
          <w:lang w:val="en-GB"/>
        </w:rPr>
        <w:t xml:space="preserve">” </w:t>
      </w:r>
      <w:r w:rsidRPr="00B3382F">
        <w:rPr>
          <w:rFonts w:ascii="Arial" w:eastAsia="Calibri" w:hAnsi="Arial" w:cs="Arial"/>
          <w:b/>
          <w:bCs/>
          <w:sz w:val="18"/>
          <w:szCs w:val="18"/>
          <w:lang w:val="en-GB"/>
        </w:rPr>
        <w:t xml:space="preserve">– </w:t>
      </w:r>
      <w:r w:rsidRPr="00B3382F">
        <w:rPr>
          <w:rFonts w:ascii="Arial" w:eastAsia="Calibri" w:hAnsi="Arial" w:cs="Arial"/>
          <w:sz w:val="18"/>
          <w:szCs w:val="18"/>
          <w:lang w:val="en-GB"/>
        </w:rPr>
        <w:t>agreement with a value of 206,640.00 gross concluded on December 20th 2016. Implementation period: 21 weeks.</w:t>
      </w:r>
    </w:p>
    <w:p w:rsidR="00A4381A" w:rsidRPr="00B3382F" w:rsidRDefault="00A4381A" w:rsidP="00A4381A">
      <w:pPr>
        <w:spacing w:after="0" w:line="360" w:lineRule="auto"/>
        <w:jc w:val="both"/>
        <w:rPr>
          <w:rFonts w:ascii="Arial" w:eastAsia="Calibri" w:hAnsi="Arial" w:cs="Arial"/>
          <w:sz w:val="18"/>
          <w:szCs w:val="18"/>
          <w:lang w:val="en-GB"/>
        </w:rPr>
      </w:pPr>
      <w:r w:rsidRPr="00B3382F">
        <w:rPr>
          <w:rFonts w:ascii="Arial" w:eastAsia="Calibri" w:hAnsi="Arial" w:cs="Arial"/>
          <w:sz w:val="18"/>
          <w:szCs w:val="18"/>
          <w:lang w:val="en-GB"/>
        </w:rPr>
        <w:t>The aim of the ex post evaluation is to take stock of and assess the impact of support provided under the 2007-2013 ROP of the Mazovia Province, mainly to determine the level of achievement of the main objective and the specific objectives of the Programme.</w:t>
      </w:r>
    </w:p>
    <w:p w:rsidR="00A4381A" w:rsidRPr="00B3382F" w:rsidRDefault="00A4381A" w:rsidP="00A4381A">
      <w:pPr>
        <w:spacing w:after="0" w:line="360" w:lineRule="auto"/>
        <w:jc w:val="both"/>
        <w:rPr>
          <w:rFonts w:ascii="Arial" w:eastAsia="Calibri" w:hAnsi="Arial" w:cs="Arial"/>
          <w:sz w:val="18"/>
          <w:szCs w:val="18"/>
          <w:lang w:val="en-GB"/>
        </w:rPr>
      </w:pPr>
      <w:r w:rsidRPr="00B3382F">
        <w:rPr>
          <w:rFonts w:ascii="Arial" w:eastAsia="Calibri" w:hAnsi="Arial" w:cs="Arial"/>
          <w:sz w:val="18"/>
          <w:szCs w:val="18"/>
          <w:lang w:val="en-GB"/>
        </w:rPr>
        <w:t>In line with the Council Regulation (EC) no. 1083/2006 of 11 July 2006 laying down general provisions on the European Regional Development Fund, the European Social Fund and the Cohesion Fund and repealing Regulation (EC) No. 1260/1999, the study should cover each objective of the 2007-2013 ROP of the Mazovia Province. An analysis of the degree of utilisation of resources, the effectiveness and efficiency of the programming of funds as well as the economic and social impact of the interventions carried out should be conducted.</w:t>
      </w:r>
    </w:p>
    <w:p w:rsidR="00A4381A" w:rsidRPr="00B3382F" w:rsidRDefault="00A4381A" w:rsidP="00A4381A">
      <w:pPr>
        <w:spacing w:after="0" w:line="360" w:lineRule="auto"/>
        <w:jc w:val="both"/>
        <w:rPr>
          <w:rFonts w:ascii="Arial" w:eastAsia="Calibri" w:hAnsi="Arial" w:cs="Arial"/>
          <w:sz w:val="18"/>
          <w:szCs w:val="18"/>
          <w:lang w:val="en-GB"/>
        </w:rPr>
      </w:pPr>
      <w:r w:rsidRPr="00B3382F">
        <w:rPr>
          <w:rFonts w:ascii="Arial" w:eastAsia="Calibri" w:hAnsi="Arial" w:cs="Arial"/>
          <w:sz w:val="18"/>
          <w:szCs w:val="18"/>
          <w:lang w:val="en-GB"/>
        </w:rPr>
        <w:t>The recommendations of the study will be implemented under the 2014-2020 ROP of the Mazovia Province to improve spending of EU funds.</w:t>
      </w:r>
    </w:p>
    <w:p w:rsidR="00A4381A" w:rsidRPr="00B3382F" w:rsidRDefault="00A4381A" w:rsidP="00A4381A">
      <w:pPr>
        <w:spacing w:after="0" w:line="360" w:lineRule="auto"/>
        <w:jc w:val="both"/>
        <w:rPr>
          <w:rFonts w:ascii="Arial" w:eastAsia="Calibri" w:hAnsi="Arial" w:cs="Arial"/>
          <w:sz w:val="18"/>
          <w:szCs w:val="18"/>
          <w:lang w:val="en-GB"/>
        </w:rPr>
      </w:pPr>
      <w:r w:rsidRPr="00B3382F">
        <w:rPr>
          <w:rFonts w:ascii="Arial" w:eastAsia="Calibri" w:hAnsi="Arial" w:cs="Arial"/>
          <w:sz w:val="18"/>
          <w:szCs w:val="18"/>
          <w:lang w:val="en-GB"/>
        </w:rPr>
        <w:t xml:space="preserve">The results of the work will be published on a public website: </w:t>
      </w:r>
      <w:hyperlink r:id="rId12" w:history="1">
        <w:r w:rsidRPr="00B3382F">
          <w:rPr>
            <w:rFonts w:ascii="Arial" w:eastAsia="Calibri" w:hAnsi="Arial" w:cs="Arial"/>
            <w:sz w:val="18"/>
            <w:szCs w:val="18"/>
            <w:lang w:val="en-GB"/>
          </w:rPr>
          <w:t>www.funduszedlamazowsza.eu</w:t>
        </w:r>
      </w:hyperlink>
      <w:r w:rsidRPr="00B3382F">
        <w:rPr>
          <w:rFonts w:ascii="Arial" w:eastAsia="Calibri" w:hAnsi="Arial" w:cs="Arial"/>
          <w:sz w:val="18"/>
          <w:szCs w:val="18"/>
          <w:lang w:val="en-GB"/>
        </w:rPr>
        <w:t xml:space="preserve">. The implementation of the Evaluation Plan for the 2014-2020 ROP of the Mazovia Province adopted at a meeting of the Monitoring Committee held on February 19th 2016 is progressing smoothly, and the recommendations formulated are implemented by institutions involved in the distribution of EU funds. </w:t>
      </w:r>
    </w:p>
    <w:p w:rsidR="00A4381A" w:rsidRPr="00B3382F" w:rsidRDefault="00A4381A" w:rsidP="00A4381A">
      <w:pPr>
        <w:tabs>
          <w:tab w:val="left" w:pos="709"/>
        </w:tabs>
        <w:spacing w:after="0" w:line="360" w:lineRule="auto"/>
        <w:jc w:val="both"/>
        <w:rPr>
          <w:rFonts w:ascii="Arial" w:eastAsia="Calibri" w:hAnsi="Arial" w:cs="Arial"/>
          <w:sz w:val="18"/>
          <w:szCs w:val="18"/>
          <w:lang w:val="en-GB"/>
        </w:rPr>
      </w:pPr>
      <w:r w:rsidRPr="00B3382F">
        <w:rPr>
          <w:rFonts w:ascii="Arial" w:hAnsi="Arial" w:cs="Arial"/>
          <w:kern w:val="32"/>
          <w:sz w:val="18"/>
          <w:szCs w:val="18"/>
          <w:lang w:val="en-GB"/>
        </w:rPr>
        <w:tab/>
        <w:t>As regards the issue of equality between men and women and the prevention of discrimination</w:t>
      </w:r>
      <w:r w:rsidRPr="00B3382F">
        <w:rPr>
          <w:rFonts w:ascii="Arial" w:hAnsi="Arial" w:cs="Arial"/>
          <w:sz w:val="18"/>
          <w:szCs w:val="18"/>
          <w:lang w:val="en-GB"/>
        </w:rPr>
        <w:t xml:space="preserve">, the Managing Authority of the ROP of the Mazovia Province carried out a detailed analysis of this issue at the stage of the implementation of the Operational Programme in line with the position of the Ministry of Development and following training relating to the principle of equal opportunities and non-discrimination targeted at the employees of the Managing Authority of the ROP. Relevant provisions were drawn up and included in the Regulations of the competitive call for proposals as regards the correct understanding and assessment of compliance by </w:t>
      </w:r>
      <w:r w:rsidRPr="00B3382F">
        <w:rPr>
          <w:rFonts w:ascii="Arial" w:hAnsi="Arial" w:cs="Arial"/>
          <w:sz w:val="18"/>
          <w:szCs w:val="18"/>
          <w:lang w:val="en-GB"/>
        </w:rPr>
        <w:br/>
        <w:t>applicants with the principle of equal opportunities and non-discrimination in the 2014-2020 perspective. Implementation instructions were developed for the procedure</w:t>
      </w:r>
      <w:r>
        <w:rPr>
          <w:rFonts w:ascii="Arial" w:hAnsi="Arial" w:cs="Arial"/>
          <w:sz w:val="18"/>
          <w:szCs w:val="18"/>
          <w:lang w:val="en-GB"/>
        </w:rPr>
        <w:t xml:space="preserve"> </w:t>
      </w:r>
      <w:r w:rsidRPr="00B3382F">
        <w:rPr>
          <w:rFonts w:ascii="Arial" w:hAnsi="Arial" w:cs="Arial"/>
          <w:sz w:val="18"/>
          <w:szCs w:val="18"/>
          <w:lang w:val="en-GB"/>
        </w:rPr>
        <w:t xml:space="preserve">concerning the mobilisation of funds for reasonable accommodation in projects where the participation of people with disabilities was not originally envisaged. </w:t>
      </w:r>
    </w:p>
    <w:p w:rsidR="00A4381A" w:rsidRPr="00B3382F" w:rsidRDefault="00A4381A" w:rsidP="00A4381A">
      <w:pPr>
        <w:tabs>
          <w:tab w:val="left" w:pos="709"/>
        </w:tabs>
        <w:spacing w:after="0" w:line="360" w:lineRule="auto"/>
        <w:jc w:val="both"/>
        <w:rPr>
          <w:rFonts w:ascii="Arial" w:eastAsia="Calibri" w:hAnsi="Arial" w:cs="Arial"/>
          <w:sz w:val="18"/>
          <w:szCs w:val="18"/>
          <w:lang w:val="en-GB"/>
        </w:rPr>
      </w:pPr>
      <w:r w:rsidRPr="00B3382F">
        <w:rPr>
          <w:rFonts w:ascii="Arial" w:eastAsia="Calibri" w:hAnsi="Arial" w:cs="Arial"/>
          <w:sz w:val="18"/>
          <w:szCs w:val="18"/>
          <w:lang w:val="en-GB"/>
        </w:rPr>
        <w:tab/>
        <w:t>At the application stage, applicants are required to describe the impact of their project on the sustainable development principle. The description is then verified at the formal appraisal stage based on the following formal criterion: Compliance of the project described in an application for funding with the sustainable development principle. Projects which do not comply with the principle are rejected.</w:t>
      </w:r>
    </w:p>
    <w:p w:rsidR="00A4381A" w:rsidRPr="00B3382F" w:rsidRDefault="00A4381A" w:rsidP="00A4381A">
      <w:pPr>
        <w:tabs>
          <w:tab w:val="left" w:pos="709"/>
        </w:tabs>
        <w:spacing w:after="0" w:line="360" w:lineRule="auto"/>
        <w:jc w:val="both"/>
        <w:rPr>
          <w:rFonts w:ascii="Arial" w:eastAsia="Times New Roman" w:hAnsi="Arial" w:cs="Arial"/>
          <w:sz w:val="18"/>
          <w:szCs w:val="18"/>
          <w:lang w:val="en-GB"/>
        </w:rPr>
      </w:pPr>
      <w:r w:rsidRPr="00B3382F">
        <w:rPr>
          <w:rFonts w:ascii="Arial" w:hAnsi="Arial" w:cs="Arial"/>
          <w:sz w:val="18"/>
          <w:szCs w:val="18"/>
          <w:lang w:val="en-GB"/>
        </w:rPr>
        <w:tab/>
        <w:t xml:space="preserve">The main principle followed by the Self-government of the Mazovia Province during the preparation and implementation of the 2014-2020 Regional Operational Programme of the Mazovia Province is the </w:t>
      </w:r>
      <w:r w:rsidRPr="00791F23">
        <w:rPr>
          <w:rFonts w:ascii="Arial" w:hAnsi="Arial" w:cs="Arial"/>
          <w:bCs/>
          <w:sz w:val="18"/>
          <w:szCs w:val="18"/>
          <w:lang w:val="en-GB"/>
        </w:rPr>
        <w:t>partnership principle</w:t>
      </w:r>
      <w:r w:rsidRPr="00791F23">
        <w:rPr>
          <w:rFonts w:ascii="Arial" w:hAnsi="Arial" w:cs="Arial"/>
          <w:sz w:val="18"/>
          <w:szCs w:val="18"/>
          <w:lang w:val="en-GB"/>
        </w:rPr>
        <w:t>. The role of partnership is important at each stage of the implementation of the 2014-2020 ROP</w:t>
      </w:r>
      <w:r w:rsidRPr="00B3382F">
        <w:rPr>
          <w:rFonts w:ascii="Arial" w:hAnsi="Arial" w:cs="Arial"/>
          <w:sz w:val="18"/>
          <w:szCs w:val="18"/>
          <w:lang w:val="en-GB"/>
        </w:rPr>
        <w:t xml:space="preserve"> of the Mazovia Province. Following experience from the 2007-2013 perspective, a Monitoring Committee for the 2014-2020 ROP of the Mazovia Province has been set up. The Committee actively participates in the implementation of the programme evaluation process, e.g. by approving the evaluation plan and analysing its progress. The work of the Committee includes analysis of the results of the evaluations, and the</w:t>
      </w:r>
      <w:r w:rsidRPr="00B3382F">
        <w:rPr>
          <w:rFonts w:ascii="Arial" w:hAnsi="Arial" w:cs="Arial"/>
          <w:lang w:val="en-GB"/>
        </w:rPr>
        <w:t xml:space="preserve"> </w:t>
      </w:r>
      <w:r w:rsidRPr="00B3382F">
        <w:rPr>
          <w:rFonts w:ascii="Arial" w:hAnsi="Arial" w:cs="Arial"/>
          <w:sz w:val="18"/>
          <w:szCs w:val="18"/>
          <w:lang w:val="en-GB"/>
        </w:rPr>
        <w:t>modalities of their implementation as well as the monitoring of the application of the partnership principle in the evaluation process. Interviews with beneficiaries are carried out during the evaluations to make it possible for all interested parties to express their views.</w:t>
      </w:r>
    </w:p>
    <w:p w:rsidR="00A4381A" w:rsidRPr="00B3382F" w:rsidRDefault="00A4381A" w:rsidP="00A4381A">
      <w:pPr>
        <w:tabs>
          <w:tab w:val="left" w:pos="709"/>
        </w:tabs>
        <w:spacing w:after="0" w:line="360" w:lineRule="auto"/>
        <w:jc w:val="both"/>
        <w:rPr>
          <w:rFonts w:ascii="Arial" w:eastAsia="Calibri" w:hAnsi="Arial" w:cs="Arial"/>
          <w:sz w:val="18"/>
          <w:szCs w:val="18"/>
          <w:lang w:val="en-GB"/>
        </w:rPr>
      </w:pPr>
      <w:r w:rsidRPr="00B3382F">
        <w:rPr>
          <w:rFonts w:ascii="Arial" w:eastAsia="Calibri" w:hAnsi="Arial" w:cs="Arial"/>
          <w:sz w:val="18"/>
          <w:szCs w:val="18"/>
          <w:lang w:val="en-GB"/>
        </w:rPr>
        <w:tab/>
        <w:t>In the reporting period, all actions were carried out in accordance with the Communication Strategy of the 2014-2020 ROP of the Mazovia Province and the ‘Annual plan for information and promotion actions for 2016’. The actions related to such areas as: the coordination of the information and promotion system, information provision, education activities, promotion measures, including cooperation with the media and online promotion, public and other events.</w:t>
      </w:r>
    </w:p>
    <w:p w:rsidR="00A4381A" w:rsidRPr="00B3382F" w:rsidRDefault="00A4381A" w:rsidP="00A4381A">
      <w:pPr>
        <w:tabs>
          <w:tab w:val="left" w:pos="709"/>
        </w:tabs>
        <w:spacing w:after="0" w:line="360" w:lineRule="auto"/>
        <w:jc w:val="both"/>
        <w:rPr>
          <w:rFonts w:ascii="Arial" w:eastAsia="Calibri" w:hAnsi="Arial" w:cs="Arial"/>
          <w:sz w:val="18"/>
          <w:szCs w:val="18"/>
          <w:lang w:val="en-GB"/>
        </w:rPr>
      </w:pPr>
      <w:r w:rsidRPr="00B3382F">
        <w:rPr>
          <w:rFonts w:ascii="Arial" w:eastAsia="Calibri" w:hAnsi="Arial" w:cs="Arial"/>
          <w:sz w:val="18"/>
          <w:szCs w:val="18"/>
          <w:lang w:val="en-GB"/>
        </w:rPr>
        <w:tab/>
        <w:t xml:space="preserve">The Mazovia Province actively participates in the implementation of the EU strategy for the Baltic Sea Region. There is complementarity between the EU strategy for the Baltic Sea Region and the 2014-2020 ROP of the Mazovia Province. Individual priority axes of the Programme are consistent with the general objectives of the EU Strategy for the Baltic Sea Region, i.e. saving the sea, connecting the region and increasing prosperity. The general compatibility of the lines of intervention with the priority areas of the Strategy means that the Programme has an indirect impact on the implementation of the Strategy in those areas. The Programme contributes to the implementation of the EU Strategy for the Baltic Sea Region through its actions relating to most of the areas supported by the EU, including research and development, innovation and technology transfer, protection of the environment, culture, transport or the labour market. The Programme ensures complementarity with the EU Strategy for the Baltic Sea Region in particular in respect of the fulfilment of the objective of the Strategy relating to the increase of prosperity, under the ‘Innovation’ priority area, by implementing the following priority axes of the 2014-2020 ROP of the Mazovia Province: 1st priority axis ‘Exploitation of research and development in the economy’, 3rd priority axis ‘Development of innovation </w:t>
      </w:r>
      <w:r>
        <w:rPr>
          <w:rFonts w:ascii="Arial" w:eastAsia="Calibri" w:hAnsi="Arial" w:cs="Arial"/>
          <w:sz w:val="18"/>
          <w:szCs w:val="18"/>
          <w:lang w:val="en-GB"/>
        </w:rPr>
        <w:t>capacity and entrepreneurship’.</w:t>
      </w:r>
    </w:p>
    <w:p w:rsidR="00A4381A" w:rsidRPr="00B3382F" w:rsidRDefault="00A4381A" w:rsidP="00A4381A">
      <w:pPr>
        <w:spacing w:after="0" w:line="360" w:lineRule="auto"/>
        <w:ind w:firstLine="708"/>
        <w:jc w:val="both"/>
        <w:rPr>
          <w:rFonts w:ascii="Arial" w:eastAsia="Calibri" w:hAnsi="Arial" w:cs="Arial"/>
          <w:sz w:val="18"/>
          <w:szCs w:val="18"/>
          <w:lang w:val="en-GB"/>
        </w:rPr>
      </w:pPr>
      <w:r w:rsidRPr="00B3382F">
        <w:rPr>
          <w:rFonts w:ascii="Arial" w:eastAsia="Calibri" w:hAnsi="Arial" w:cs="Arial"/>
          <w:sz w:val="18"/>
          <w:szCs w:val="18"/>
          <w:lang w:val="en-GB"/>
        </w:rPr>
        <w:t>The improvement of the quality of life of the society, with particular regard to those groups and areas where there is a particular need to support local communities, is one of the main objectives of the 2014-2020 ROP of the Mazovia Province. Achievement of this goal is facilitated by actions under the 8th priority axis ‘Development of the labour market’, 9th Priority Axis ‘Promoting social inclusion and combating poverty’ and the 10th priority axis ‘Education for the development of the region’.</w:t>
      </w:r>
    </w:p>
    <w:p w:rsidR="00A4381A" w:rsidRPr="00B3382F" w:rsidRDefault="00A4381A" w:rsidP="00A4381A">
      <w:pPr>
        <w:spacing w:after="0" w:line="360" w:lineRule="auto"/>
        <w:ind w:firstLine="66"/>
        <w:jc w:val="both"/>
        <w:rPr>
          <w:rFonts w:ascii="Arial" w:eastAsia="Calibri" w:hAnsi="Arial" w:cs="Arial"/>
          <w:sz w:val="18"/>
          <w:szCs w:val="18"/>
          <w:lang w:val="en-GB"/>
        </w:rPr>
      </w:pPr>
      <w:r w:rsidRPr="00B3382F">
        <w:rPr>
          <w:rFonts w:ascii="Arial" w:eastAsia="Calibri" w:hAnsi="Arial" w:cs="Arial"/>
          <w:sz w:val="18"/>
          <w:szCs w:val="18"/>
          <w:lang w:val="en-GB"/>
        </w:rPr>
        <w:t>As envisaged by the Programme, measures under the ESF taken to address the specific needs of target groups at highest risk of social exclusion are implemented through competitive calls for proposals under Priority Axes 8, 9 and 10.</w:t>
      </w:r>
    </w:p>
    <w:p w:rsidR="00A4381A" w:rsidRPr="00B3382F" w:rsidRDefault="00A4381A" w:rsidP="00A4381A">
      <w:pPr>
        <w:numPr>
          <w:ilvl w:val="0"/>
          <w:numId w:val="13"/>
        </w:numPr>
        <w:spacing w:after="0" w:line="360" w:lineRule="auto"/>
        <w:ind w:left="426"/>
        <w:jc w:val="both"/>
        <w:rPr>
          <w:rFonts w:ascii="Arial" w:eastAsia="Calibri" w:hAnsi="Arial" w:cs="Arial"/>
          <w:sz w:val="18"/>
          <w:szCs w:val="18"/>
          <w:lang w:val="en-GB"/>
        </w:rPr>
      </w:pPr>
      <w:r w:rsidRPr="00B3382F">
        <w:rPr>
          <w:rFonts w:ascii="Arial" w:eastAsia="Calibri" w:hAnsi="Arial" w:cs="Arial"/>
          <w:sz w:val="18"/>
          <w:szCs w:val="18"/>
          <w:lang w:val="en-GB"/>
        </w:rPr>
        <w:t xml:space="preserve">Priority Axis 8 - measures aimed at labour market activation of people aged 30 and above were carried out. One of the objectives is to provide support to those most disadvantaged on the labour market. By the end of 2016, a restricted call for proposals under Measure 8.1 was organised in which 39 employment offices participated. </w:t>
      </w:r>
    </w:p>
    <w:p w:rsidR="00A4381A" w:rsidRPr="00B3382F" w:rsidRDefault="00A4381A" w:rsidP="00A4381A">
      <w:pPr>
        <w:numPr>
          <w:ilvl w:val="0"/>
          <w:numId w:val="13"/>
        </w:numPr>
        <w:spacing w:after="0" w:line="360" w:lineRule="auto"/>
        <w:ind w:left="426"/>
        <w:jc w:val="both"/>
        <w:rPr>
          <w:rFonts w:ascii="Arial" w:eastAsia="Calibri" w:hAnsi="Arial" w:cs="Arial"/>
          <w:sz w:val="18"/>
          <w:szCs w:val="18"/>
          <w:lang w:val="en-GB"/>
        </w:rPr>
      </w:pPr>
      <w:r w:rsidRPr="00B3382F">
        <w:rPr>
          <w:rFonts w:ascii="Arial" w:eastAsia="Calibri" w:hAnsi="Arial" w:cs="Arial"/>
          <w:sz w:val="18"/>
          <w:szCs w:val="18"/>
          <w:lang w:val="en-GB"/>
        </w:rPr>
        <w:t>Priority Axis 9 - projects under which support is to be provided mainly to people living in areas below the disadvantage threshold set in the Mazovia poverty and social exclusion barometer, including in rural areas, received preferential points. This is due, among others, to the varying levels of poverty and social exclusion risks in the Mazovia Province. The differences within the region as regards the degree of the aforementioned problems are also taken into account in line with Chapter 5 of the ROP of the Mazovia Province. Moreover, depending on the subject matter of individual competitive calls for proposals, preferential treatment is given under eligibility criteria or merit-based specific criteria to such groups as people with disabilities, people eligible for profile 3 support in accordance with the Act on employment promotion and labour market institutions of April 20th 2004, people benefiting from the Food Aid Operational Programme or people who repeatedly experience social exclusion. The support provided to those groups of people is aimed at helping them overcome difficult life circumstances, and the aggregation of funds from the ESF will enable an individual and comprehensive implementation of measures, which would not be possible in such short time with only domestic funds.</w:t>
      </w:r>
    </w:p>
    <w:p w:rsidR="00A4381A" w:rsidRPr="00B3382F" w:rsidRDefault="00A4381A" w:rsidP="00A4381A">
      <w:pPr>
        <w:numPr>
          <w:ilvl w:val="0"/>
          <w:numId w:val="14"/>
        </w:numPr>
        <w:spacing w:after="0" w:line="360" w:lineRule="auto"/>
        <w:ind w:left="426"/>
        <w:jc w:val="both"/>
        <w:rPr>
          <w:rFonts w:ascii="Arial" w:eastAsia="Calibri" w:hAnsi="Arial" w:cs="Arial"/>
          <w:sz w:val="18"/>
          <w:szCs w:val="18"/>
          <w:lang w:val="en-GB"/>
        </w:rPr>
      </w:pPr>
      <w:r w:rsidRPr="00B3382F">
        <w:rPr>
          <w:rFonts w:ascii="Arial" w:eastAsia="Calibri" w:hAnsi="Arial" w:cs="Arial"/>
          <w:sz w:val="18"/>
          <w:szCs w:val="18"/>
          <w:lang w:val="en-GB"/>
        </w:rPr>
        <w:t>Axis 10 Measure 10.2 - provision of support in the form of training or other activities aimed at improving digital and language competences, culminating in the formal certification of the qualifications acquired. The criteria used favour the most deprived persons with low qualifications, people over 50 and people from rural areas. The target group includes people over 25 that want to acquire, update or improve their skills and digital and language competences. Projects targeted at establishments in rural areas were too favoured. According to the SL2014 data, in the case of applications where the ‘rural areas (with low population density)’ support area was declared, the breakdown of funding under the ESF as of December 31st 2016 is as follows: PA 8 - EUR 8 million, PA 9 - EUR 3.6 million, PA 10 - EUR 11.6 million.</w:t>
      </w:r>
    </w:p>
    <w:p w:rsidR="00B16A3C" w:rsidRPr="00A2467D" w:rsidRDefault="00B16A3C" w:rsidP="00B16A3C">
      <w:pPr>
        <w:spacing w:after="0" w:line="360" w:lineRule="auto"/>
        <w:jc w:val="center"/>
        <w:rPr>
          <w:rFonts w:ascii="Arial" w:hAnsi="Arial" w:cs="Arial"/>
          <w:b/>
          <w:lang w:val="en-GB"/>
        </w:rPr>
      </w:pPr>
      <w:r>
        <w:rPr>
          <w:rFonts w:ascii="Arial" w:hAnsi="Arial" w:cs="Arial"/>
          <w:sz w:val="18"/>
          <w:szCs w:val="18"/>
          <w:lang w:val="en-GB"/>
        </w:rPr>
        <w:br w:type="column"/>
      </w:r>
      <w:r w:rsidRPr="00A2467D">
        <w:rPr>
          <w:rFonts w:ascii="Arial" w:hAnsi="Arial" w:cs="Arial"/>
          <w:b/>
          <w:bCs/>
          <w:lang w:val="en-GB"/>
        </w:rPr>
        <w:t>Table of contents</w:t>
      </w:r>
    </w:p>
    <w:p w:rsidR="00156365" w:rsidRPr="00563254" w:rsidRDefault="00156365" w:rsidP="00B16A3C">
      <w:pPr>
        <w:tabs>
          <w:tab w:val="num" w:pos="567"/>
        </w:tabs>
        <w:spacing w:after="0" w:line="360" w:lineRule="auto"/>
        <w:jc w:val="both"/>
        <w:rPr>
          <w:rFonts w:ascii="Arial" w:hAnsi="Arial" w:cs="Arial"/>
          <w:sz w:val="18"/>
          <w:szCs w:val="18"/>
          <w:lang w:val="en-GB"/>
        </w:rPr>
      </w:pPr>
    </w:p>
    <w:p w:rsidR="00156365" w:rsidRPr="00156365" w:rsidRDefault="00156365" w:rsidP="00156365">
      <w:pPr>
        <w:tabs>
          <w:tab w:val="num" w:pos="567"/>
        </w:tabs>
        <w:spacing w:after="0" w:line="360" w:lineRule="auto"/>
        <w:jc w:val="both"/>
        <w:rPr>
          <w:rFonts w:ascii="Arial" w:hAnsi="Arial" w:cs="Arial"/>
          <w:sz w:val="18"/>
          <w:szCs w:val="18"/>
          <w:lang w:val="en-US"/>
        </w:rPr>
      </w:pPr>
      <w:r w:rsidRPr="00156365">
        <w:rPr>
          <w:rFonts w:ascii="Arial" w:hAnsi="Arial" w:cs="Arial"/>
          <w:sz w:val="18"/>
          <w:szCs w:val="18"/>
          <w:lang w:val="en-US"/>
        </w:rPr>
        <w:t>INTRODUCTORY INFORMATION</w:t>
      </w:r>
      <w:r w:rsidRPr="00156365">
        <w:rPr>
          <w:rFonts w:ascii="Arial" w:hAnsi="Arial" w:cs="Arial"/>
          <w:sz w:val="18"/>
          <w:szCs w:val="18"/>
          <w:lang w:val="en-US"/>
        </w:rPr>
        <w:tab/>
        <w:t>…</w:t>
      </w:r>
      <w:r>
        <w:rPr>
          <w:rFonts w:ascii="Arial" w:hAnsi="Arial" w:cs="Arial"/>
          <w:sz w:val="18"/>
          <w:szCs w:val="18"/>
          <w:lang w:val="en-US"/>
        </w:rPr>
        <w:t>……………..</w:t>
      </w:r>
      <w:r w:rsidRPr="00156365">
        <w:rPr>
          <w:rFonts w:ascii="Arial" w:hAnsi="Arial" w:cs="Arial"/>
          <w:sz w:val="18"/>
          <w:szCs w:val="18"/>
          <w:lang w:val="en-US"/>
        </w:rPr>
        <w:t>.</w:t>
      </w:r>
      <w:r>
        <w:rPr>
          <w:rFonts w:ascii="Arial" w:hAnsi="Arial" w:cs="Arial"/>
          <w:sz w:val="18"/>
          <w:szCs w:val="18"/>
          <w:lang w:val="en-US"/>
        </w:rPr>
        <w:t>............................................................................................6</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w:t>
      </w:r>
      <w:r w:rsidRPr="00156365">
        <w:rPr>
          <w:rFonts w:ascii="Arial" w:hAnsi="Arial" w:cs="Arial"/>
          <w:sz w:val="18"/>
          <w:szCs w:val="18"/>
          <w:lang w:val="en-GB"/>
        </w:rPr>
        <w:tab/>
        <w:t>IDENTIFICATION OF THE ANNUAL IMPLEMENTATION REPORT</w:t>
      </w:r>
      <w:r>
        <w:rPr>
          <w:rFonts w:ascii="Arial" w:hAnsi="Arial" w:cs="Arial"/>
          <w:sz w:val="18"/>
          <w:szCs w:val="18"/>
          <w:lang w:val="en-GB"/>
        </w:rPr>
        <w:t>………………………………………9</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2.</w:t>
      </w:r>
      <w:r w:rsidRPr="00156365">
        <w:rPr>
          <w:rFonts w:ascii="Arial" w:hAnsi="Arial" w:cs="Arial"/>
          <w:sz w:val="18"/>
          <w:szCs w:val="18"/>
          <w:lang w:val="en-GB"/>
        </w:rPr>
        <w:tab/>
        <w:t>REVIEW OF THE IMPLEMENTATION OF THE OPERATIONAL PROGRAMME (art. 50(2) and art. 111(3)(a) of the Regulation (EU) no. 1303/2013)</w:t>
      </w:r>
      <w:r w:rsidRPr="00156365">
        <w:rPr>
          <w:rFonts w:ascii="Arial" w:hAnsi="Arial" w:cs="Arial"/>
          <w:sz w:val="18"/>
          <w:szCs w:val="18"/>
          <w:lang w:val="en-GB"/>
        </w:rPr>
        <w:tab/>
      </w:r>
      <w:r>
        <w:rPr>
          <w:rFonts w:ascii="Arial" w:hAnsi="Arial" w:cs="Arial"/>
          <w:sz w:val="18"/>
          <w:szCs w:val="18"/>
          <w:lang w:val="en-GB"/>
        </w:rPr>
        <w:t>………………………………………………………………</w:t>
      </w:r>
      <w:r w:rsidRPr="00156365">
        <w:rPr>
          <w:rFonts w:ascii="Arial" w:hAnsi="Arial" w:cs="Arial"/>
          <w:sz w:val="18"/>
          <w:szCs w:val="18"/>
          <w:lang w:val="en-GB"/>
        </w:rPr>
        <w:t>9</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2.1</w:t>
      </w:r>
      <w:r w:rsidRPr="00156365">
        <w:rPr>
          <w:rFonts w:ascii="Arial" w:hAnsi="Arial" w:cs="Arial"/>
          <w:sz w:val="18"/>
          <w:szCs w:val="18"/>
          <w:lang w:val="en-GB"/>
        </w:rPr>
        <w:tab/>
        <w:t>Implementation system of the 2014-2020 ROP of the Mazovia Province</w:t>
      </w:r>
      <w:r>
        <w:rPr>
          <w:rFonts w:ascii="Arial" w:hAnsi="Arial" w:cs="Arial"/>
          <w:sz w:val="18"/>
          <w:szCs w:val="18"/>
          <w:lang w:val="en-GB"/>
        </w:rPr>
        <w:tab/>
        <w:t>……………………………….</w:t>
      </w:r>
      <w:r w:rsidRPr="00156365">
        <w:rPr>
          <w:rFonts w:ascii="Arial" w:hAnsi="Arial" w:cs="Arial"/>
          <w:sz w:val="18"/>
          <w:szCs w:val="18"/>
          <w:lang w:val="en-GB"/>
        </w:rPr>
        <w:t>9</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2.2</w:t>
      </w:r>
      <w:r w:rsidRPr="00156365">
        <w:rPr>
          <w:rFonts w:ascii="Arial" w:hAnsi="Arial" w:cs="Arial"/>
          <w:sz w:val="18"/>
          <w:szCs w:val="18"/>
          <w:lang w:val="en-GB"/>
        </w:rPr>
        <w:tab/>
        <w:t>Analysis of physical and financial progress</w:t>
      </w:r>
      <w:r>
        <w:rPr>
          <w:rFonts w:ascii="Arial" w:hAnsi="Arial" w:cs="Arial"/>
          <w:sz w:val="18"/>
          <w:szCs w:val="18"/>
          <w:lang w:val="en-GB"/>
        </w:rPr>
        <w:t>………………………………………………………………..</w:t>
      </w:r>
      <w:r w:rsidRPr="00156365">
        <w:rPr>
          <w:rFonts w:ascii="Arial" w:hAnsi="Arial" w:cs="Arial"/>
          <w:sz w:val="18"/>
          <w:szCs w:val="18"/>
          <w:lang w:val="en-GB"/>
        </w:rPr>
        <w:t>10</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2.3</w:t>
      </w:r>
      <w:r w:rsidRPr="00156365">
        <w:rPr>
          <w:rFonts w:ascii="Arial" w:hAnsi="Arial" w:cs="Arial"/>
          <w:sz w:val="18"/>
          <w:szCs w:val="18"/>
          <w:lang w:val="en-GB"/>
        </w:rPr>
        <w:tab/>
        <w:t>Financial instruments</w:t>
      </w:r>
      <w:r>
        <w:rPr>
          <w:rFonts w:ascii="Arial" w:hAnsi="Arial" w:cs="Arial"/>
          <w:sz w:val="18"/>
          <w:szCs w:val="18"/>
          <w:lang w:val="en-GB"/>
        </w:rPr>
        <w:t>………………………………………………………………………………………….</w:t>
      </w:r>
      <w:r w:rsidRPr="00156365">
        <w:rPr>
          <w:rFonts w:ascii="Arial" w:hAnsi="Arial" w:cs="Arial"/>
          <w:sz w:val="18"/>
          <w:szCs w:val="18"/>
          <w:lang w:val="en-GB"/>
        </w:rPr>
        <w:t>11</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w:t>
      </w:r>
      <w:r w:rsidRPr="00156365">
        <w:rPr>
          <w:rFonts w:ascii="Arial" w:hAnsi="Arial" w:cs="Arial"/>
          <w:sz w:val="18"/>
          <w:szCs w:val="18"/>
          <w:lang w:val="en-GB"/>
        </w:rPr>
        <w:tab/>
        <w:t>IMPLEMENTATION OF A PRIORITY AXIS (art. 50(2) of the Regulation (EU) no. 1303/2013)</w:t>
      </w:r>
      <w:r>
        <w:rPr>
          <w:rFonts w:ascii="Arial" w:hAnsi="Arial" w:cs="Arial"/>
          <w:sz w:val="18"/>
          <w:szCs w:val="18"/>
          <w:lang w:val="en-GB"/>
        </w:rPr>
        <w:t>……...</w:t>
      </w:r>
      <w:r w:rsidRPr="00156365">
        <w:rPr>
          <w:rFonts w:ascii="Arial" w:hAnsi="Arial" w:cs="Arial"/>
          <w:sz w:val="18"/>
          <w:szCs w:val="18"/>
          <w:lang w:val="en-GB"/>
        </w:rPr>
        <w:t>11</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3.1</w:t>
      </w:r>
      <w:r w:rsidRPr="00156365">
        <w:rPr>
          <w:rFonts w:ascii="Arial" w:hAnsi="Arial" w:cs="Arial"/>
          <w:sz w:val="18"/>
          <w:szCs w:val="18"/>
          <w:lang w:val="en-GB"/>
        </w:rPr>
        <w:tab/>
        <w:t>Review of implementation</w:t>
      </w:r>
      <w:r>
        <w:rPr>
          <w:rFonts w:ascii="Arial" w:hAnsi="Arial" w:cs="Arial"/>
          <w:sz w:val="18"/>
          <w:szCs w:val="18"/>
          <w:lang w:val="en-GB"/>
        </w:rPr>
        <w:t>…………………………………………………………………………………….</w:t>
      </w:r>
      <w:r w:rsidRPr="00156365">
        <w:rPr>
          <w:rFonts w:ascii="Arial" w:hAnsi="Arial" w:cs="Arial"/>
          <w:sz w:val="18"/>
          <w:szCs w:val="18"/>
          <w:lang w:val="en-GB"/>
        </w:rPr>
        <w:t>11</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3.1.1</w:t>
      </w:r>
      <w:r w:rsidRPr="00156365">
        <w:rPr>
          <w:rFonts w:ascii="Arial" w:hAnsi="Arial" w:cs="Arial"/>
          <w:sz w:val="18"/>
          <w:szCs w:val="18"/>
          <w:lang w:val="en-GB"/>
        </w:rPr>
        <w:tab/>
        <w:t>Priority Axis 1 Exploitation of research and development in the economy</w:t>
      </w:r>
      <w:r w:rsidRPr="00156365">
        <w:rPr>
          <w:rFonts w:ascii="Arial" w:hAnsi="Arial" w:cs="Arial"/>
          <w:sz w:val="18"/>
          <w:szCs w:val="18"/>
          <w:lang w:val="en-GB"/>
        </w:rPr>
        <w:tab/>
      </w:r>
      <w:r>
        <w:rPr>
          <w:rFonts w:ascii="Arial" w:hAnsi="Arial" w:cs="Arial"/>
          <w:sz w:val="18"/>
          <w:szCs w:val="18"/>
          <w:lang w:val="en-GB"/>
        </w:rPr>
        <w:t>………………………………</w:t>
      </w:r>
      <w:r w:rsidRPr="00156365">
        <w:rPr>
          <w:rFonts w:ascii="Arial" w:hAnsi="Arial" w:cs="Arial"/>
          <w:sz w:val="18"/>
          <w:szCs w:val="18"/>
          <w:lang w:val="en-GB"/>
        </w:rPr>
        <w:t>11</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3.1.2</w:t>
      </w:r>
      <w:r w:rsidRPr="00156365">
        <w:rPr>
          <w:rFonts w:ascii="Arial" w:hAnsi="Arial" w:cs="Arial"/>
          <w:sz w:val="18"/>
          <w:szCs w:val="18"/>
          <w:lang w:val="en-GB"/>
        </w:rPr>
        <w:tab/>
        <w:t>Priority Axis 2 Increasing the e-potential of Mazovia</w:t>
      </w:r>
      <w:r w:rsidRPr="00156365">
        <w:rPr>
          <w:rFonts w:ascii="Arial" w:hAnsi="Arial" w:cs="Arial"/>
          <w:sz w:val="18"/>
          <w:szCs w:val="18"/>
          <w:lang w:val="en-GB"/>
        </w:rPr>
        <w:tab/>
      </w:r>
      <w:r>
        <w:rPr>
          <w:rFonts w:ascii="Arial" w:hAnsi="Arial" w:cs="Arial"/>
          <w:sz w:val="18"/>
          <w:szCs w:val="18"/>
          <w:lang w:val="en-GB"/>
        </w:rPr>
        <w:t>……………………………………………………12</w:t>
      </w:r>
    </w:p>
    <w:p w:rsidR="00156365" w:rsidRPr="00156365" w:rsidRDefault="00156365" w:rsidP="00156365">
      <w:pPr>
        <w:tabs>
          <w:tab w:val="num" w:pos="567"/>
        </w:tabs>
        <w:spacing w:after="0" w:line="360" w:lineRule="auto"/>
        <w:jc w:val="both"/>
        <w:rPr>
          <w:rFonts w:ascii="Arial" w:hAnsi="Arial" w:cs="Arial"/>
          <w:sz w:val="18"/>
          <w:szCs w:val="18"/>
          <w:lang w:val="en-US"/>
        </w:rPr>
      </w:pPr>
      <w:r w:rsidRPr="00156365">
        <w:rPr>
          <w:rFonts w:ascii="Arial" w:hAnsi="Arial" w:cs="Arial"/>
          <w:sz w:val="18"/>
          <w:szCs w:val="18"/>
          <w:lang w:val="en-GB"/>
        </w:rPr>
        <w:t>3.1.3</w:t>
      </w:r>
      <w:r w:rsidRPr="00156365">
        <w:rPr>
          <w:rFonts w:ascii="Arial" w:hAnsi="Arial" w:cs="Arial"/>
          <w:sz w:val="18"/>
          <w:szCs w:val="18"/>
          <w:lang w:val="en-GB"/>
        </w:rPr>
        <w:tab/>
        <w:t>Priority Axis 3 Development of innovation capacity and entrepreneurship</w:t>
      </w:r>
      <w:r w:rsidRPr="00156365">
        <w:rPr>
          <w:rFonts w:ascii="Arial" w:hAnsi="Arial" w:cs="Arial"/>
          <w:sz w:val="18"/>
          <w:szCs w:val="18"/>
          <w:lang w:val="en-GB"/>
        </w:rPr>
        <w:tab/>
      </w:r>
      <w:r>
        <w:rPr>
          <w:rFonts w:ascii="Arial" w:hAnsi="Arial" w:cs="Arial"/>
          <w:sz w:val="18"/>
          <w:szCs w:val="18"/>
          <w:lang w:val="en-GB"/>
        </w:rPr>
        <w:t>……………………………....1</w:t>
      </w:r>
      <w:r w:rsidRPr="00156365">
        <w:rPr>
          <w:rFonts w:ascii="Arial" w:hAnsi="Arial" w:cs="Arial"/>
          <w:sz w:val="18"/>
          <w:szCs w:val="18"/>
          <w:lang w:val="en-US"/>
        </w:rPr>
        <w:t>2</w:t>
      </w:r>
    </w:p>
    <w:p w:rsidR="00156365" w:rsidRPr="00156365" w:rsidRDefault="00156365" w:rsidP="00156365">
      <w:pPr>
        <w:tabs>
          <w:tab w:val="num" w:pos="567"/>
        </w:tabs>
        <w:spacing w:after="0" w:line="360" w:lineRule="auto"/>
        <w:jc w:val="both"/>
        <w:rPr>
          <w:rFonts w:ascii="Arial" w:hAnsi="Arial" w:cs="Arial"/>
          <w:sz w:val="18"/>
          <w:szCs w:val="18"/>
          <w:lang w:val="en-US"/>
        </w:rPr>
      </w:pPr>
      <w:r w:rsidRPr="00156365">
        <w:rPr>
          <w:rFonts w:ascii="Arial" w:hAnsi="Arial" w:cs="Arial"/>
          <w:sz w:val="18"/>
          <w:szCs w:val="18"/>
          <w:lang w:val="en-US"/>
        </w:rPr>
        <w:t>3.1.4</w:t>
      </w:r>
      <w:r w:rsidRPr="00156365">
        <w:rPr>
          <w:rFonts w:ascii="Arial" w:hAnsi="Arial" w:cs="Arial"/>
          <w:sz w:val="18"/>
          <w:szCs w:val="18"/>
          <w:lang w:val="en-US"/>
        </w:rPr>
        <w:tab/>
        <w:t>Priority Axis 4 Transition to a low carbon economy</w:t>
      </w:r>
      <w:r w:rsidRPr="00156365">
        <w:rPr>
          <w:rFonts w:ascii="Arial" w:hAnsi="Arial" w:cs="Arial"/>
          <w:sz w:val="18"/>
          <w:szCs w:val="18"/>
          <w:lang w:val="en-US"/>
        </w:rPr>
        <w:tab/>
      </w:r>
      <w:r>
        <w:rPr>
          <w:rFonts w:ascii="Arial" w:hAnsi="Arial" w:cs="Arial"/>
          <w:sz w:val="18"/>
          <w:szCs w:val="18"/>
          <w:lang w:val="en-US"/>
        </w:rPr>
        <w:t>……………………………………………………</w:t>
      </w:r>
      <w:r w:rsidRPr="00156365">
        <w:rPr>
          <w:rFonts w:ascii="Arial" w:hAnsi="Arial" w:cs="Arial"/>
          <w:sz w:val="18"/>
          <w:szCs w:val="18"/>
          <w:lang w:val="en-US"/>
        </w:rPr>
        <w:t>13</w:t>
      </w:r>
    </w:p>
    <w:p w:rsidR="00156365" w:rsidRPr="00156365" w:rsidRDefault="00156365" w:rsidP="00156365">
      <w:pPr>
        <w:tabs>
          <w:tab w:val="num" w:pos="567"/>
        </w:tabs>
        <w:spacing w:after="0" w:line="360" w:lineRule="auto"/>
        <w:jc w:val="both"/>
        <w:rPr>
          <w:rFonts w:ascii="Arial" w:hAnsi="Arial" w:cs="Arial"/>
          <w:sz w:val="18"/>
          <w:szCs w:val="18"/>
          <w:lang w:val="en-US"/>
        </w:rPr>
      </w:pPr>
      <w:r w:rsidRPr="00156365">
        <w:rPr>
          <w:rFonts w:ascii="Arial" w:hAnsi="Arial" w:cs="Arial"/>
          <w:sz w:val="18"/>
          <w:szCs w:val="18"/>
          <w:lang w:val="en-GB"/>
        </w:rPr>
        <w:t>3.1.</w:t>
      </w:r>
      <w:r>
        <w:rPr>
          <w:rFonts w:ascii="Arial" w:hAnsi="Arial" w:cs="Arial"/>
          <w:sz w:val="18"/>
          <w:szCs w:val="18"/>
          <w:lang w:val="en-GB"/>
        </w:rPr>
        <w:t>5</w:t>
      </w:r>
      <w:r>
        <w:rPr>
          <w:rFonts w:ascii="Arial" w:hAnsi="Arial" w:cs="Arial"/>
          <w:sz w:val="18"/>
          <w:szCs w:val="18"/>
          <w:lang w:val="en-GB"/>
        </w:rPr>
        <w:tab/>
        <w:t>Priority Axis 5 Green economy………………………………………………………………………………..13</w:t>
      </w:r>
    </w:p>
    <w:p w:rsidR="00156365" w:rsidRPr="00156365" w:rsidRDefault="00156365" w:rsidP="00156365">
      <w:pPr>
        <w:tabs>
          <w:tab w:val="num" w:pos="567"/>
        </w:tabs>
        <w:spacing w:after="0" w:line="360" w:lineRule="auto"/>
        <w:jc w:val="both"/>
        <w:rPr>
          <w:rFonts w:ascii="Arial" w:hAnsi="Arial" w:cs="Arial"/>
          <w:sz w:val="18"/>
          <w:szCs w:val="18"/>
          <w:lang w:val="en-US"/>
        </w:rPr>
      </w:pPr>
      <w:r w:rsidRPr="00156365">
        <w:rPr>
          <w:rFonts w:ascii="Arial" w:hAnsi="Arial" w:cs="Arial"/>
          <w:sz w:val="18"/>
          <w:szCs w:val="18"/>
          <w:lang w:val="en-US"/>
        </w:rPr>
        <w:t>3.1.6</w:t>
      </w:r>
      <w:r w:rsidRPr="00156365">
        <w:rPr>
          <w:rFonts w:ascii="Arial" w:hAnsi="Arial" w:cs="Arial"/>
          <w:sz w:val="18"/>
          <w:szCs w:val="18"/>
          <w:lang w:val="en-US"/>
        </w:rPr>
        <w:tab/>
        <w:t>Priority Axis 6 Quality of life</w:t>
      </w:r>
      <w:r w:rsidRPr="00156365">
        <w:rPr>
          <w:rFonts w:ascii="Arial" w:hAnsi="Arial" w:cs="Arial"/>
          <w:sz w:val="18"/>
          <w:szCs w:val="18"/>
          <w:lang w:val="en-US"/>
        </w:rPr>
        <w:tab/>
      </w:r>
      <w:r>
        <w:rPr>
          <w:rFonts w:ascii="Arial" w:hAnsi="Arial" w:cs="Arial"/>
          <w:sz w:val="18"/>
          <w:szCs w:val="18"/>
          <w:lang w:val="en-US"/>
        </w:rPr>
        <w:t>…..</w:t>
      </w:r>
      <w:r w:rsidRPr="00156365">
        <w:rPr>
          <w:rFonts w:ascii="Arial" w:hAnsi="Arial" w:cs="Arial"/>
          <w:sz w:val="18"/>
          <w:szCs w:val="18"/>
          <w:lang w:val="en-US"/>
        </w:rPr>
        <w:t>.</w:t>
      </w:r>
      <w:r>
        <w:rPr>
          <w:rFonts w:ascii="Arial" w:hAnsi="Arial" w:cs="Arial"/>
          <w:sz w:val="18"/>
          <w:szCs w:val="18"/>
          <w:lang w:val="en-US"/>
        </w:rPr>
        <w:t>.............................................................................................................14</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3.1.7</w:t>
      </w:r>
      <w:r w:rsidRPr="00156365">
        <w:rPr>
          <w:rFonts w:ascii="Arial" w:hAnsi="Arial" w:cs="Arial"/>
          <w:sz w:val="18"/>
          <w:szCs w:val="18"/>
          <w:lang w:val="en-GB"/>
        </w:rPr>
        <w:tab/>
        <w:t>Priority Axis 7 Development of the regional transport system</w:t>
      </w:r>
      <w:r w:rsidRPr="00156365">
        <w:rPr>
          <w:rFonts w:ascii="Arial" w:hAnsi="Arial" w:cs="Arial"/>
          <w:sz w:val="18"/>
          <w:szCs w:val="18"/>
          <w:lang w:val="en-GB"/>
        </w:rPr>
        <w:tab/>
      </w:r>
      <w:r w:rsidR="006E1076">
        <w:rPr>
          <w:rFonts w:ascii="Arial" w:hAnsi="Arial" w:cs="Arial"/>
          <w:sz w:val="18"/>
          <w:szCs w:val="18"/>
          <w:lang w:val="en-GB"/>
        </w:rPr>
        <w:t>…………………………………………14</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3.1.8</w:t>
      </w:r>
      <w:r w:rsidRPr="00156365">
        <w:rPr>
          <w:rFonts w:ascii="Arial" w:hAnsi="Arial" w:cs="Arial"/>
          <w:sz w:val="18"/>
          <w:szCs w:val="18"/>
          <w:lang w:val="en-GB"/>
        </w:rPr>
        <w:tab/>
        <w:t>Priority Axis 8 Development of the labour market</w:t>
      </w:r>
      <w:r w:rsidRPr="00156365">
        <w:rPr>
          <w:rFonts w:ascii="Arial" w:hAnsi="Arial" w:cs="Arial"/>
          <w:sz w:val="18"/>
          <w:szCs w:val="18"/>
          <w:lang w:val="en-GB"/>
        </w:rPr>
        <w:tab/>
      </w:r>
      <w:r w:rsidR="006E1076">
        <w:rPr>
          <w:rFonts w:ascii="Arial" w:hAnsi="Arial" w:cs="Arial"/>
          <w:sz w:val="18"/>
          <w:szCs w:val="18"/>
          <w:lang w:val="en-GB"/>
        </w:rPr>
        <w:t>……………………………………………………15</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3.1.9</w:t>
      </w:r>
      <w:r w:rsidRPr="00156365">
        <w:rPr>
          <w:rFonts w:ascii="Arial" w:hAnsi="Arial" w:cs="Arial"/>
          <w:sz w:val="18"/>
          <w:szCs w:val="18"/>
          <w:lang w:val="en-GB"/>
        </w:rPr>
        <w:tab/>
        <w:t>Priority Axis 9 Promoting social inclusion and combating poverty</w:t>
      </w:r>
      <w:r w:rsidRPr="00156365">
        <w:rPr>
          <w:rFonts w:ascii="Arial" w:hAnsi="Arial" w:cs="Arial"/>
          <w:sz w:val="18"/>
          <w:szCs w:val="18"/>
          <w:lang w:val="en-GB"/>
        </w:rPr>
        <w:tab/>
      </w:r>
      <w:r w:rsidR="006E1076">
        <w:rPr>
          <w:rFonts w:ascii="Arial" w:hAnsi="Arial" w:cs="Arial"/>
          <w:sz w:val="18"/>
          <w:szCs w:val="18"/>
          <w:lang w:val="en-GB"/>
        </w:rPr>
        <w:t>………………………………15</w:t>
      </w:r>
    </w:p>
    <w:p w:rsidR="00156365" w:rsidRPr="006E1076" w:rsidRDefault="00156365" w:rsidP="00156365">
      <w:pPr>
        <w:tabs>
          <w:tab w:val="num" w:pos="567"/>
        </w:tabs>
        <w:spacing w:after="0" w:line="360" w:lineRule="auto"/>
        <w:jc w:val="both"/>
        <w:rPr>
          <w:rFonts w:ascii="Arial" w:hAnsi="Arial" w:cs="Arial"/>
          <w:sz w:val="18"/>
          <w:szCs w:val="18"/>
          <w:lang w:val="en-US"/>
        </w:rPr>
      </w:pPr>
      <w:r w:rsidRPr="00156365">
        <w:rPr>
          <w:rFonts w:ascii="Arial" w:hAnsi="Arial" w:cs="Arial"/>
          <w:sz w:val="18"/>
          <w:szCs w:val="18"/>
          <w:lang w:val="en-GB"/>
        </w:rPr>
        <w:t>3.1.10</w:t>
      </w:r>
      <w:r w:rsidRPr="00156365">
        <w:rPr>
          <w:rFonts w:ascii="Arial" w:hAnsi="Arial" w:cs="Arial"/>
          <w:sz w:val="18"/>
          <w:szCs w:val="18"/>
          <w:lang w:val="en-GB"/>
        </w:rPr>
        <w:tab/>
        <w:t>Priority Axis 10 Education for the development of the region</w:t>
      </w:r>
      <w:r w:rsidRPr="00156365">
        <w:rPr>
          <w:rFonts w:ascii="Arial" w:hAnsi="Arial" w:cs="Arial"/>
          <w:sz w:val="18"/>
          <w:szCs w:val="18"/>
          <w:lang w:val="en-GB"/>
        </w:rPr>
        <w:tab/>
      </w:r>
      <w:r w:rsidR="006E1076">
        <w:rPr>
          <w:rFonts w:ascii="Arial" w:hAnsi="Arial" w:cs="Arial"/>
          <w:sz w:val="18"/>
          <w:szCs w:val="18"/>
          <w:lang w:val="en-GB"/>
        </w:rPr>
        <w:t>…………………………………………16</w:t>
      </w:r>
    </w:p>
    <w:p w:rsidR="00156365" w:rsidRPr="006E1076" w:rsidRDefault="00156365" w:rsidP="00156365">
      <w:pPr>
        <w:tabs>
          <w:tab w:val="num" w:pos="567"/>
        </w:tabs>
        <w:spacing w:after="0" w:line="360" w:lineRule="auto"/>
        <w:jc w:val="both"/>
        <w:rPr>
          <w:rFonts w:ascii="Arial" w:hAnsi="Arial" w:cs="Arial"/>
          <w:sz w:val="18"/>
          <w:szCs w:val="18"/>
          <w:lang w:val="en-US"/>
        </w:rPr>
      </w:pPr>
      <w:r w:rsidRPr="006E1076">
        <w:rPr>
          <w:rFonts w:ascii="Arial" w:hAnsi="Arial" w:cs="Arial"/>
          <w:sz w:val="18"/>
          <w:szCs w:val="18"/>
          <w:lang w:val="en-US"/>
        </w:rPr>
        <w:t>3.1.11</w:t>
      </w:r>
      <w:r w:rsidRPr="006E1076">
        <w:rPr>
          <w:rFonts w:ascii="Arial" w:hAnsi="Arial" w:cs="Arial"/>
          <w:sz w:val="18"/>
          <w:szCs w:val="18"/>
          <w:lang w:val="en-US"/>
        </w:rPr>
        <w:tab/>
        <w:t>Priority Axis 11 Technical support</w:t>
      </w:r>
      <w:r w:rsidRPr="006E1076">
        <w:rPr>
          <w:rFonts w:ascii="Arial" w:hAnsi="Arial" w:cs="Arial"/>
          <w:sz w:val="18"/>
          <w:szCs w:val="18"/>
          <w:lang w:val="en-US"/>
        </w:rPr>
        <w:tab/>
      </w:r>
      <w:r w:rsidR="006E1076">
        <w:rPr>
          <w:rFonts w:ascii="Arial" w:hAnsi="Arial" w:cs="Arial"/>
          <w:sz w:val="18"/>
          <w:szCs w:val="18"/>
          <w:lang w:val="en-US"/>
        </w:rPr>
        <w:t>………………………………………………………………………...16</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3.2</w:t>
      </w:r>
      <w:r w:rsidRPr="00156365">
        <w:rPr>
          <w:rFonts w:ascii="Arial" w:hAnsi="Arial" w:cs="Arial"/>
          <w:sz w:val="18"/>
          <w:szCs w:val="18"/>
          <w:lang w:val="en-GB"/>
        </w:rPr>
        <w:tab/>
        <w:t>Common and programme specific result indicators (art. 50(2) of the Regulation (EU) no. 1303/2013)</w:t>
      </w:r>
      <w:r w:rsidRPr="00156365">
        <w:rPr>
          <w:rFonts w:ascii="Arial" w:hAnsi="Arial" w:cs="Arial"/>
          <w:sz w:val="18"/>
          <w:szCs w:val="18"/>
          <w:lang w:val="en-GB"/>
        </w:rPr>
        <w:tab/>
      </w:r>
      <w:r w:rsidR="006E1076">
        <w:rPr>
          <w:rFonts w:ascii="Arial" w:hAnsi="Arial" w:cs="Arial"/>
          <w:sz w:val="18"/>
          <w:szCs w:val="18"/>
          <w:lang w:val="en-GB"/>
        </w:rPr>
        <w:t>…………………………………………………………………………………………………………………….17</w:t>
      </w:r>
    </w:p>
    <w:p w:rsidR="006E1076"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3.3</w:t>
      </w:r>
      <w:r w:rsidRPr="00156365">
        <w:rPr>
          <w:rFonts w:ascii="Arial" w:hAnsi="Arial" w:cs="Arial"/>
          <w:sz w:val="18"/>
          <w:szCs w:val="18"/>
          <w:lang w:val="en-GB"/>
        </w:rPr>
        <w:tab/>
        <w:t>Milestones and targets defined in the performance framework (art. 50(2) of the Regulation (EU) no. 1303/2013) — submitted in annual reports on implementation starting from 2017</w:t>
      </w:r>
      <w:r w:rsidRPr="00156365">
        <w:rPr>
          <w:rFonts w:ascii="Arial" w:hAnsi="Arial" w:cs="Arial"/>
          <w:sz w:val="18"/>
          <w:szCs w:val="18"/>
          <w:lang w:val="en-GB"/>
        </w:rPr>
        <w:tab/>
      </w:r>
      <w:r w:rsidR="006E1076">
        <w:rPr>
          <w:rFonts w:ascii="Arial" w:hAnsi="Arial" w:cs="Arial"/>
          <w:sz w:val="18"/>
          <w:szCs w:val="18"/>
          <w:lang w:val="en-GB"/>
        </w:rPr>
        <w:t>…………………….17</w:t>
      </w:r>
    </w:p>
    <w:p w:rsidR="006E1076" w:rsidRDefault="00156365" w:rsidP="00156365">
      <w:pPr>
        <w:tabs>
          <w:tab w:val="num" w:pos="567"/>
        </w:tabs>
        <w:spacing w:after="0" w:line="360" w:lineRule="auto"/>
        <w:jc w:val="both"/>
        <w:rPr>
          <w:rFonts w:ascii="Arial" w:hAnsi="Arial" w:cs="Arial"/>
          <w:sz w:val="18"/>
          <w:szCs w:val="18"/>
          <w:lang w:val="en-US"/>
        </w:rPr>
      </w:pPr>
      <w:r w:rsidRPr="006E1076">
        <w:rPr>
          <w:rFonts w:ascii="Arial" w:hAnsi="Arial" w:cs="Arial"/>
          <w:sz w:val="18"/>
          <w:szCs w:val="18"/>
          <w:lang w:val="en-US"/>
        </w:rPr>
        <w:t>3.4</w:t>
      </w:r>
      <w:r w:rsidRPr="006E1076">
        <w:rPr>
          <w:rFonts w:ascii="Arial" w:hAnsi="Arial" w:cs="Arial"/>
          <w:sz w:val="18"/>
          <w:szCs w:val="18"/>
          <w:lang w:val="en-US"/>
        </w:rPr>
        <w:tab/>
        <w:t>Financial data (art. 50(2) of the Regulation (EU) no. 1303/2013)</w:t>
      </w:r>
      <w:r w:rsidRPr="006E1076">
        <w:rPr>
          <w:rFonts w:ascii="Arial" w:hAnsi="Arial" w:cs="Arial"/>
          <w:sz w:val="18"/>
          <w:szCs w:val="18"/>
          <w:lang w:val="en-US"/>
        </w:rPr>
        <w:tab/>
      </w:r>
      <w:r w:rsidR="006E1076">
        <w:rPr>
          <w:rFonts w:ascii="Arial" w:hAnsi="Arial" w:cs="Arial"/>
          <w:sz w:val="18"/>
          <w:szCs w:val="18"/>
          <w:lang w:val="en-US"/>
        </w:rPr>
        <w:t>…………………………………………17</w:t>
      </w:r>
    </w:p>
    <w:p w:rsidR="00156365" w:rsidRPr="00156365" w:rsidRDefault="00156365" w:rsidP="006E1076">
      <w:pPr>
        <w:tabs>
          <w:tab w:val="num" w:pos="567"/>
          <w:tab w:val="left" w:pos="8789"/>
        </w:tabs>
        <w:spacing w:after="0" w:line="360" w:lineRule="auto"/>
        <w:jc w:val="both"/>
        <w:rPr>
          <w:rFonts w:ascii="Arial" w:hAnsi="Arial" w:cs="Arial"/>
          <w:sz w:val="18"/>
          <w:szCs w:val="18"/>
          <w:lang w:val="en-GB"/>
        </w:rPr>
      </w:pPr>
      <w:r w:rsidRPr="00156365">
        <w:rPr>
          <w:rFonts w:ascii="Arial" w:hAnsi="Arial" w:cs="Arial"/>
          <w:sz w:val="18"/>
          <w:szCs w:val="18"/>
          <w:lang w:val="en-GB"/>
        </w:rPr>
        <w:t>4.</w:t>
      </w:r>
      <w:r w:rsidRPr="00156365">
        <w:rPr>
          <w:rFonts w:ascii="Arial" w:hAnsi="Arial" w:cs="Arial"/>
          <w:sz w:val="18"/>
          <w:szCs w:val="18"/>
          <w:lang w:val="en-GB"/>
        </w:rPr>
        <w:tab/>
        <w:t>SYNTHESIS OF THE FINDINGS OF EVALUATIONS (art. 50(2) of the Regulation (EU) no. 1303/2013)</w:t>
      </w:r>
      <w:r w:rsidRPr="00156365">
        <w:rPr>
          <w:rFonts w:ascii="Arial" w:hAnsi="Arial" w:cs="Arial"/>
          <w:sz w:val="18"/>
          <w:szCs w:val="18"/>
          <w:lang w:val="en-GB"/>
        </w:rPr>
        <w:tab/>
      </w:r>
      <w:r w:rsidR="006E1076">
        <w:rPr>
          <w:rFonts w:ascii="Arial" w:hAnsi="Arial" w:cs="Arial"/>
          <w:sz w:val="18"/>
          <w:szCs w:val="18"/>
          <w:lang w:val="en-GB"/>
        </w:rPr>
        <w:t>……………………………………………………………………………………………………………………..17</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5.</w:t>
      </w:r>
      <w:r w:rsidRPr="00156365">
        <w:rPr>
          <w:rFonts w:ascii="Arial" w:hAnsi="Arial" w:cs="Arial"/>
          <w:sz w:val="18"/>
          <w:szCs w:val="18"/>
          <w:lang w:val="en-GB"/>
        </w:rPr>
        <w:tab/>
        <w:t>INFORMATION ON THE IMPLEMENTATION OF THE YOUTH EMPLOYMENT INITIATIVE, WHERE APPLICABLE (art. 19(2) and art. 19(4) of the Regulation (EU) no. 1304/2013)</w:t>
      </w:r>
      <w:r w:rsidRPr="00156365">
        <w:rPr>
          <w:rFonts w:ascii="Arial" w:hAnsi="Arial" w:cs="Arial"/>
          <w:sz w:val="18"/>
          <w:szCs w:val="18"/>
          <w:lang w:val="en-GB"/>
        </w:rPr>
        <w:tab/>
      </w:r>
      <w:r w:rsidR="006E1076">
        <w:rPr>
          <w:rFonts w:ascii="Arial" w:hAnsi="Arial" w:cs="Arial"/>
          <w:sz w:val="18"/>
          <w:szCs w:val="18"/>
          <w:lang w:val="en-GB"/>
        </w:rPr>
        <w:t>……………………………….19</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6.</w:t>
      </w:r>
      <w:r w:rsidRPr="00156365">
        <w:rPr>
          <w:rFonts w:ascii="Arial" w:hAnsi="Arial" w:cs="Arial"/>
          <w:sz w:val="18"/>
          <w:szCs w:val="18"/>
          <w:lang w:val="en-GB"/>
        </w:rPr>
        <w:tab/>
        <w:t>ISSUES THAT AFFECT THE PERFORMANCE OF THE PROGRAMME AND ACTIONS TAKEN (art. 50(2) of the Regulation (EU) no. 1303/2013)</w:t>
      </w:r>
      <w:r w:rsidRPr="00156365">
        <w:rPr>
          <w:rFonts w:ascii="Arial" w:hAnsi="Arial" w:cs="Arial"/>
          <w:sz w:val="18"/>
          <w:szCs w:val="18"/>
          <w:lang w:val="en-GB"/>
        </w:rPr>
        <w:tab/>
      </w:r>
      <w:r w:rsidR="006E1076">
        <w:rPr>
          <w:rFonts w:ascii="Arial" w:hAnsi="Arial" w:cs="Arial"/>
          <w:sz w:val="18"/>
          <w:szCs w:val="18"/>
          <w:lang w:val="en-GB"/>
        </w:rPr>
        <w:t>………………………………………………………………………….19</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7.</w:t>
      </w:r>
      <w:r w:rsidRPr="00156365">
        <w:rPr>
          <w:rFonts w:ascii="Arial" w:hAnsi="Arial" w:cs="Arial"/>
          <w:sz w:val="18"/>
          <w:szCs w:val="18"/>
          <w:lang w:val="en-GB"/>
        </w:rPr>
        <w:tab/>
        <w:t>SUMMARY TO BE MADE AVAILABLE TO THE PUBLIC (art. 50(9) of the Regulation (EU) no. 1303/2013)</w:t>
      </w:r>
      <w:r w:rsidRPr="00156365">
        <w:rPr>
          <w:rFonts w:ascii="Arial" w:hAnsi="Arial" w:cs="Arial"/>
          <w:sz w:val="18"/>
          <w:szCs w:val="18"/>
          <w:lang w:val="en-GB"/>
        </w:rPr>
        <w:tab/>
      </w:r>
      <w:r w:rsidR="006E1076">
        <w:rPr>
          <w:rFonts w:ascii="Arial" w:hAnsi="Arial" w:cs="Arial"/>
          <w:sz w:val="18"/>
          <w:szCs w:val="18"/>
          <w:lang w:val="en-GB"/>
        </w:rPr>
        <w:t>……………………………………………………………………………………………………………………..22</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8.</w:t>
      </w:r>
      <w:r w:rsidRPr="00156365">
        <w:rPr>
          <w:rFonts w:ascii="Arial" w:hAnsi="Arial" w:cs="Arial"/>
          <w:sz w:val="18"/>
          <w:szCs w:val="18"/>
          <w:lang w:val="en-GB"/>
        </w:rPr>
        <w:tab/>
        <w:t>REPORT ON THE IMPLEMENTATION OF FINANCIAL INSTRUMENTS (art. 46 of the Regulation (EU) no. 1303/2013)</w:t>
      </w:r>
      <w:r w:rsidRPr="00156365">
        <w:rPr>
          <w:rFonts w:ascii="Arial" w:hAnsi="Arial" w:cs="Arial"/>
          <w:sz w:val="18"/>
          <w:szCs w:val="18"/>
          <w:lang w:val="en-GB"/>
        </w:rPr>
        <w:tab/>
      </w:r>
      <w:r w:rsidR="006E1076">
        <w:rPr>
          <w:rFonts w:ascii="Arial" w:hAnsi="Arial" w:cs="Arial"/>
          <w:sz w:val="18"/>
          <w:szCs w:val="18"/>
          <w:lang w:val="en-GB"/>
        </w:rPr>
        <w:t>…………………………………………………………………………………………………………22</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9.</w:t>
      </w:r>
      <w:r w:rsidRPr="00156365">
        <w:rPr>
          <w:rFonts w:ascii="Arial" w:hAnsi="Arial" w:cs="Arial"/>
          <w:sz w:val="18"/>
          <w:szCs w:val="18"/>
          <w:lang w:val="en-GB"/>
        </w:rPr>
        <w:tab/>
        <w:t>ACTIONS TAKEN TO FULFIL EX ANTE CONDITIONALITIES (art. 50(2) and art. 50(4) of the Regulation (EU) no. 1303/2013) not fulfilled at the time of adoption of the Operational Programme</w:t>
      </w:r>
      <w:r w:rsidRPr="00156365">
        <w:rPr>
          <w:rFonts w:ascii="Arial" w:hAnsi="Arial" w:cs="Arial"/>
          <w:sz w:val="18"/>
          <w:szCs w:val="18"/>
          <w:lang w:val="en-GB"/>
        </w:rPr>
        <w:tab/>
      </w:r>
      <w:r w:rsidR="006E1076">
        <w:rPr>
          <w:rFonts w:ascii="Arial" w:hAnsi="Arial" w:cs="Arial"/>
          <w:sz w:val="18"/>
          <w:szCs w:val="18"/>
          <w:lang w:val="en-GB"/>
        </w:rPr>
        <w:t>……………………..22</w:t>
      </w:r>
    </w:p>
    <w:p w:rsidR="00156365" w:rsidRPr="006E1076" w:rsidRDefault="00156365" w:rsidP="00156365">
      <w:pPr>
        <w:tabs>
          <w:tab w:val="num" w:pos="567"/>
        </w:tabs>
        <w:spacing w:after="0" w:line="360" w:lineRule="auto"/>
        <w:jc w:val="both"/>
        <w:rPr>
          <w:rFonts w:ascii="Arial" w:hAnsi="Arial" w:cs="Arial"/>
          <w:sz w:val="18"/>
          <w:szCs w:val="18"/>
          <w:lang w:val="en-US"/>
        </w:rPr>
      </w:pPr>
      <w:r w:rsidRPr="00156365">
        <w:rPr>
          <w:rFonts w:ascii="Arial" w:hAnsi="Arial" w:cs="Arial"/>
          <w:sz w:val="18"/>
          <w:szCs w:val="18"/>
          <w:lang w:val="en-GB"/>
        </w:rPr>
        <w:t>10.</w:t>
      </w:r>
      <w:r w:rsidRPr="00156365">
        <w:rPr>
          <w:rFonts w:ascii="Arial" w:hAnsi="Arial" w:cs="Arial"/>
          <w:sz w:val="18"/>
          <w:szCs w:val="18"/>
          <w:lang w:val="en-GB"/>
        </w:rPr>
        <w:tab/>
        <w:t>PROGRESS IN PREPARATION AND IMPLEMENTATION OF MAJOR PROJECTS AND JOINT ACTION PLANS (art. 101(h) and art. 111(3) of the Regulation (EU) no. 1303/2013)</w:t>
      </w:r>
      <w:r w:rsidRPr="00156365">
        <w:rPr>
          <w:rFonts w:ascii="Arial" w:hAnsi="Arial" w:cs="Arial"/>
          <w:sz w:val="18"/>
          <w:szCs w:val="18"/>
          <w:lang w:val="en-GB"/>
        </w:rPr>
        <w:tab/>
      </w:r>
      <w:r w:rsidR="006E1076">
        <w:rPr>
          <w:rFonts w:ascii="Arial" w:hAnsi="Arial" w:cs="Arial"/>
          <w:sz w:val="18"/>
          <w:szCs w:val="18"/>
          <w:lang w:val="en-GB"/>
        </w:rPr>
        <w:t>………………………………..22</w:t>
      </w:r>
    </w:p>
    <w:p w:rsidR="00156365" w:rsidRPr="006E1076" w:rsidRDefault="00156365" w:rsidP="00156365">
      <w:pPr>
        <w:tabs>
          <w:tab w:val="num" w:pos="567"/>
        </w:tabs>
        <w:spacing w:after="0" w:line="360" w:lineRule="auto"/>
        <w:jc w:val="both"/>
        <w:rPr>
          <w:rFonts w:ascii="Arial" w:hAnsi="Arial" w:cs="Arial"/>
          <w:sz w:val="18"/>
          <w:szCs w:val="18"/>
          <w:lang w:val="en-US"/>
        </w:rPr>
      </w:pPr>
      <w:r w:rsidRPr="006E1076">
        <w:rPr>
          <w:rFonts w:ascii="Arial" w:hAnsi="Arial" w:cs="Arial"/>
          <w:sz w:val="18"/>
          <w:szCs w:val="18"/>
          <w:lang w:val="en-US"/>
        </w:rPr>
        <w:t>10.1</w:t>
      </w:r>
      <w:r w:rsidRPr="006E1076">
        <w:rPr>
          <w:rFonts w:ascii="Arial" w:hAnsi="Arial" w:cs="Arial"/>
          <w:sz w:val="18"/>
          <w:szCs w:val="18"/>
          <w:lang w:val="en-US"/>
        </w:rPr>
        <w:tab/>
        <w:t>Major projects</w:t>
      </w:r>
      <w:r w:rsidRPr="006E1076">
        <w:rPr>
          <w:rFonts w:ascii="Arial" w:hAnsi="Arial" w:cs="Arial"/>
          <w:sz w:val="18"/>
          <w:szCs w:val="18"/>
          <w:lang w:val="en-US"/>
        </w:rPr>
        <w:tab/>
      </w:r>
      <w:r w:rsidR="006E1076" w:rsidRPr="006E1076">
        <w:rPr>
          <w:rFonts w:ascii="Arial" w:hAnsi="Arial" w:cs="Arial"/>
          <w:sz w:val="18"/>
          <w:szCs w:val="18"/>
          <w:lang w:val="en-US"/>
        </w:rPr>
        <w:t>………………………………………………………………………………………………22</w:t>
      </w:r>
    </w:p>
    <w:p w:rsidR="00156365" w:rsidRPr="006E1076" w:rsidRDefault="00156365" w:rsidP="00156365">
      <w:pPr>
        <w:tabs>
          <w:tab w:val="num" w:pos="567"/>
        </w:tabs>
        <w:spacing w:after="0" w:line="360" w:lineRule="auto"/>
        <w:jc w:val="both"/>
        <w:rPr>
          <w:rFonts w:ascii="Arial" w:hAnsi="Arial" w:cs="Arial"/>
          <w:sz w:val="18"/>
          <w:szCs w:val="18"/>
          <w:lang w:val="en-US"/>
        </w:rPr>
      </w:pPr>
      <w:r w:rsidRPr="006E1076">
        <w:rPr>
          <w:rFonts w:ascii="Arial" w:hAnsi="Arial" w:cs="Arial"/>
          <w:sz w:val="18"/>
          <w:szCs w:val="18"/>
          <w:lang w:val="en-US"/>
        </w:rPr>
        <w:t>10.2</w:t>
      </w:r>
      <w:r w:rsidRPr="006E1076">
        <w:rPr>
          <w:rFonts w:ascii="Arial" w:hAnsi="Arial" w:cs="Arial"/>
          <w:sz w:val="18"/>
          <w:szCs w:val="18"/>
          <w:lang w:val="en-US"/>
        </w:rPr>
        <w:tab/>
        <w:t>Joint action plans</w:t>
      </w:r>
      <w:r w:rsidRPr="006E1076">
        <w:rPr>
          <w:rFonts w:ascii="Arial" w:hAnsi="Arial" w:cs="Arial"/>
          <w:sz w:val="18"/>
          <w:szCs w:val="18"/>
          <w:lang w:val="en-US"/>
        </w:rPr>
        <w:tab/>
      </w:r>
      <w:r w:rsidR="006E1076" w:rsidRPr="006E1076">
        <w:rPr>
          <w:rFonts w:ascii="Arial" w:hAnsi="Arial" w:cs="Arial"/>
          <w:sz w:val="18"/>
          <w:szCs w:val="18"/>
          <w:lang w:val="en-US"/>
        </w:rPr>
        <w:t>………………………………………………………………………………………………23</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11.</w:t>
      </w:r>
      <w:r w:rsidRPr="00156365">
        <w:rPr>
          <w:rFonts w:ascii="Arial" w:hAnsi="Arial" w:cs="Arial"/>
          <w:sz w:val="18"/>
          <w:szCs w:val="18"/>
          <w:lang w:val="en-GB"/>
        </w:rPr>
        <w:tab/>
        <w:t>EVALUATION OF THE IMPLEMENTATION OF THE OPERATIONAL PROGRAMME (art. 50(4) and art. 111(4) of the Regulation (EU) no. 1303/2013)</w:t>
      </w:r>
      <w:r w:rsidRPr="00156365">
        <w:rPr>
          <w:rFonts w:ascii="Arial" w:hAnsi="Arial" w:cs="Arial"/>
          <w:sz w:val="18"/>
          <w:szCs w:val="18"/>
          <w:lang w:val="en-GB"/>
        </w:rPr>
        <w:tab/>
      </w:r>
      <w:r w:rsidR="006E1076">
        <w:rPr>
          <w:rFonts w:ascii="Arial" w:hAnsi="Arial" w:cs="Arial"/>
          <w:sz w:val="18"/>
          <w:szCs w:val="18"/>
          <w:lang w:val="en-GB"/>
        </w:rPr>
        <w:t>……………………………………………………………….23</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11.1</w:t>
      </w:r>
      <w:r w:rsidRPr="00156365">
        <w:rPr>
          <w:rFonts w:ascii="Arial" w:hAnsi="Arial" w:cs="Arial"/>
          <w:sz w:val="18"/>
          <w:szCs w:val="18"/>
          <w:lang w:val="en-GB"/>
        </w:rPr>
        <w:tab/>
        <w:t>Information contained in part A and the achievement of the objectives of the programme (art. 50(4) of the Regulation (EU) no. 1303/2013)</w:t>
      </w:r>
      <w:r w:rsidRPr="00156365">
        <w:rPr>
          <w:rFonts w:ascii="Arial" w:hAnsi="Arial" w:cs="Arial"/>
          <w:sz w:val="18"/>
          <w:szCs w:val="18"/>
          <w:lang w:val="en-GB"/>
        </w:rPr>
        <w:tab/>
      </w:r>
      <w:r w:rsidR="006E1076">
        <w:rPr>
          <w:rFonts w:ascii="Arial" w:hAnsi="Arial" w:cs="Arial"/>
          <w:sz w:val="18"/>
          <w:szCs w:val="18"/>
          <w:lang w:val="en-GB"/>
        </w:rPr>
        <w:t>……………………………………………………………………………………23</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11.2</w:t>
      </w:r>
      <w:r w:rsidRPr="00156365">
        <w:rPr>
          <w:rFonts w:ascii="Arial" w:hAnsi="Arial" w:cs="Arial"/>
          <w:sz w:val="18"/>
          <w:szCs w:val="18"/>
          <w:lang w:val="en-GB"/>
        </w:rPr>
        <w:tab/>
        <w:t>SPECIFIC ACTIONS TAKEN TO PROMOTE EQUALITY BETWEEN MEN AND WOMEN AND TO PREVENT DISCRIMINATION, IN PARTICULAR ACCESSIBILITY FOR PERSONS WITH DISABILITIES, AND THE ARRANGEMENTS IMPLEMENTED TO ENSURE THE INTEGRATION OF THE GENDER PERSPECTIVE IN THE OPERATIONAL PROGRAMME AND OPERATIONS (art. 50(4) and point (e) of the second subparagraph of art. 111(4) of the Regulation (EU) no. 1303/2013)</w:t>
      </w:r>
      <w:r w:rsidRPr="00156365">
        <w:rPr>
          <w:rFonts w:ascii="Arial" w:hAnsi="Arial" w:cs="Arial"/>
          <w:sz w:val="18"/>
          <w:szCs w:val="18"/>
          <w:lang w:val="en-GB"/>
        </w:rPr>
        <w:tab/>
      </w:r>
      <w:r w:rsidR="006E1076">
        <w:rPr>
          <w:rFonts w:ascii="Arial" w:hAnsi="Arial" w:cs="Arial"/>
          <w:sz w:val="18"/>
          <w:szCs w:val="18"/>
          <w:lang w:val="en-GB"/>
        </w:rPr>
        <w:t>……………………………………………………………….23</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11.3</w:t>
      </w:r>
      <w:r w:rsidRPr="00156365">
        <w:rPr>
          <w:rFonts w:ascii="Arial" w:hAnsi="Arial" w:cs="Arial"/>
          <w:sz w:val="18"/>
          <w:szCs w:val="18"/>
          <w:lang w:val="en-GB"/>
        </w:rPr>
        <w:tab/>
        <w:t>Sustainable development (art. 50(4) and point (f) of the second subparagraph of art. 111(4) of the Regulation (EU) no. 1303/2013)</w:t>
      </w:r>
      <w:r w:rsidRPr="00156365">
        <w:rPr>
          <w:rFonts w:ascii="Arial" w:hAnsi="Arial" w:cs="Arial"/>
          <w:sz w:val="18"/>
          <w:szCs w:val="18"/>
          <w:lang w:val="en-GB"/>
        </w:rPr>
        <w:tab/>
      </w:r>
      <w:r w:rsidR="006E1076">
        <w:rPr>
          <w:rFonts w:ascii="Arial" w:hAnsi="Arial" w:cs="Arial"/>
          <w:sz w:val="18"/>
          <w:szCs w:val="18"/>
          <w:lang w:val="en-GB"/>
        </w:rPr>
        <w:t>…………………………………………………………………………………….23</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11.4</w:t>
      </w:r>
      <w:r w:rsidRPr="00156365">
        <w:rPr>
          <w:rFonts w:ascii="Arial" w:hAnsi="Arial" w:cs="Arial"/>
          <w:sz w:val="18"/>
          <w:szCs w:val="18"/>
          <w:lang w:val="en-GB"/>
        </w:rPr>
        <w:tab/>
        <w:t>Report on support used for climate change objectives (art. 50(4) of the Regulation (EU) no. 1303/2013)</w:t>
      </w:r>
      <w:r w:rsidRPr="00156365">
        <w:rPr>
          <w:rFonts w:ascii="Arial" w:hAnsi="Arial" w:cs="Arial"/>
          <w:sz w:val="18"/>
          <w:szCs w:val="18"/>
          <w:lang w:val="en-GB"/>
        </w:rPr>
        <w:tab/>
      </w:r>
      <w:r w:rsidR="006E1076">
        <w:rPr>
          <w:rFonts w:ascii="Arial" w:hAnsi="Arial" w:cs="Arial"/>
          <w:sz w:val="18"/>
          <w:szCs w:val="18"/>
          <w:lang w:val="en-GB"/>
        </w:rPr>
        <w:t>……………………………………………………………………………………………………………………...24</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11.5</w:t>
      </w:r>
      <w:r w:rsidRPr="00156365">
        <w:rPr>
          <w:rFonts w:ascii="Arial" w:hAnsi="Arial" w:cs="Arial"/>
          <w:sz w:val="18"/>
          <w:szCs w:val="18"/>
          <w:lang w:val="en-GB"/>
        </w:rPr>
        <w:tab/>
        <w:t>Role of partners in the implementation of the programme (art. 50(4) and point (c) of the first subparagraph of art. 111(3) of the Regulation (EU) no. 1303/2013)</w:t>
      </w:r>
      <w:r w:rsidRPr="00156365">
        <w:rPr>
          <w:rFonts w:ascii="Arial" w:hAnsi="Arial" w:cs="Arial"/>
          <w:sz w:val="18"/>
          <w:szCs w:val="18"/>
          <w:lang w:val="en-GB"/>
        </w:rPr>
        <w:tab/>
      </w:r>
      <w:r w:rsidR="006E1076">
        <w:rPr>
          <w:rFonts w:ascii="Arial" w:hAnsi="Arial" w:cs="Arial"/>
          <w:sz w:val="18"/>
          <w:szCs w:val="18"/>
          <w:lang w:val="en-GB"/>
        </w:rPr>
        <w:t>……………………………………………………………….24</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12.</w:t>
      </w:r>
      <w:r w:rsidRPr="00156365">
        <w:rPr>
          <w:rFonts w:ascii="Arial" w:hAnsi="Arial" w:cs="Arial"/>
          <w:sz w:val="18"/>
          <w:szCs w:val="18"/>
          <w:lang w:val="en-GB"/>
        </w:rPr>
        <w:tab/>
        <w:t>COMPULSORY INFORMATION AND EVALUATION IN ACCORDANCE WITH points (a) and (b) of the first subparagraph of ART. 111(4) OF THE REGULATION (EU) NO. 1303/2013</w:t>
      </w:r>
      <w:r w:rsidRPr="00156365">
        <w:rPr>
          <w:rFonts w:ascii="Arial" w:hAnsi="Arial" w:cs="Arial"/>
          <w:sz w:val="18"/>
          <w:szCs w:val="18"/>
          <w:lang w:val="en-GB"/>
        </w:rPr>
        <w:tab/>
      </w:r>
      <w:r w:rsidR="006E1076">
        <w:rPr>
          <w:rFonts w:ascii="Arial" w:hAnsi="Arial" w:cs="Arial"/>
          <w:sz w:val="18"/>
          <w:szCs w:val="18"/>
          <w:lang w:val="en-GB"/>
        </w:rPr>
        <w:t>……………………………….24</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12.1</w:t>
      </w:r>
      <w:r w:rsidRPr="00156365">
        <w:rPr>
          <w:rFonts w:ascii="Arial" w:hAnsi="Arial" w:cs="Arial"/>
          <w:sz w:val="18"/>
          <w:szCs w:val="18"/>
          <w:lang w:val="en-GB"/>
        </w:rPr>
        <w:tab/>
        <w:t>Progress in the implementation of the evaluation plan and the follow-up given to the findings of evaluations</w:t>
      </w:r>
      <w:r w:rsidRPr="00156365">
        <w:rPr>
          <w:rFonts w:ascii="Arial" w:hAnsi="Arial" w:cs="Arial"/>
          <w:sz w:val="18"/>
          <w:szCs w:val="18"/>
          <w:lang w:val="en-GB"/>
        </w:rPr>
        <w:tab/>
      </w:r>
      <w:r w:rsidR="006E1076">
        <w:rPr>
          <w:rFonts w:ascii="Arial" w:hAnsi="Arial" w:cs="Arial"/>
          <w:sz w:val="18"/>
          <w:szCs w:val="18"/>
          <w:lang w:val="en-GB"/>
        </w:rPr>
        <w:t>……………………………………………………………………………………………………………………..24</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12.2</w:t>
      </w:r>
      <w:r w:rsidRPr="00156365">
        <w:rPr>
          <w:rFonts w:ascii="Arial" w:hAnsi="Arial" w:cs="Arial"/>
          <w:sz w:val="18"/>
          <w:szCs w:val="18"/>
          <w:lang w:val="en-GB"/>
        </w:rPr>
        <w:tab/>
        <w:t>Results of information and promotional activities carried out under cohesion policy funds as part of the communication strategy</w:t>
      </w:r>
      <w:r w:rsidRPr="00156365">
        <w:rPr>
          <w:rFonts w:ascii="Arial" w:hAnsi="Arial" w:cs="Arial"/>
          <w:sz w:val="18"/>
          <w:szCs w:val="18"/>
          <w:lang w:val="en-GB"/>
        </w:rPr>
        <w:tab/>
      </w:r>
      <w:r w:rsidR="006E1076">
        <w:rPr>
          <w:rFonts w:ascii="Arial" w:hAnsi="Arial" w:cs="Arial"/>
          <w:sz w:val="18"/>
          <w:szCs w:val="18"/>
          <w:lang w:val="en-GB"/>
        </w:rPr>
        <w:t>………………………………………………………………………………………………26</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13.</w:t>
      </w:r>
      <w:r w:rsidRPr="00156365">
        <w:rPr>
          <w:rFonts w:ascii="Arial" w:hAnsi="Arial" w:cs="Arial"/>
          <w:sz w:val="18"/>
          <w:szCs w:val="18"/>
          <w:lang w:val="en-GB"/>
        </w:rPr>
        <w:tab/>
        <w:t>ACTIONS TAKEN TO FULFIL EX ANTE CONDITIONALITIES (art. 50(4) of the Regulation (EU) no. 1303/2013)</w:t>
      </w:r>
      <w:r w:rsidRPr="00156365">
        <w:rPr>
          <w:rFonts w:ascii="Arial" w:hAnsi="Arial" w:cs="Arial"/>
          <w:sz w:val="18"/>
          <w:szCs w:val="18"/>
          <w:lang w:val="en-GB"/>
        </w:rPr>
        <w:tab/>
      </w:r>
      <w:r w:rsidR="006E1076">
        <w:rPr>
          <w:rFonts w:ascii="Arial" w:hAnsi="Arial" w:cs="Arial"/>
          <w:sz w:val="18"/>
          <w:szCs w:val="18"/>
          <w:lang w:val="en-GB"/>
        </w:rPr>
        <w:t>…………………………………………………………………………………………………………26</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14.</w:t>
      </w:r>
      <w:r w:rsidRPr="00156365">
        <w:rPr>
          <w:rFonts w:ascii="Arial" w:hAnsi="Arial" w:cs="Arial"/>
          <w:sz w:val="18"/>
          <w:szCs w:val="18"/>
          <w:lang w:val="en-GB"/>
        </w:rPr>
        <w:tab/>
        <w:t>ADDITIONAL INFORMATION THAT MAY BE INCLUDED DEPENDING ON THE CONTENT AND OBJECTIVES OF THE OPERATIONAL PROGRAMME (points (a), (b), (c), (d), (g) and (h) of the second subparagraph of art. 111(4) of the Regulation (EU) no. 1303/2013)</w:t>
      </w:r>
      <w:r w:rsidRPr="00156365">
        <w:rPr>
          <w:rFonts w:ascii="Arial" w:hAnsi="Arial" w:cs="Arial"/>
          <w:sz w:val="18"/>
          <w:szCs w:val="18"/>
          <w:lang w:val="en-GB"/>
        </w:rPr>
        <w:tab/>
      </w:r>
      <w:r w:rsidR="006E1076">
        <w:rPr>
          <w:rFonts w:ascii="Arial" w:hAnsi="Arial" w:cs="Arial"/>
          <w:sz w:val="18"/>
          <w:szCs w:val="18"/>
          <w:lang w:val="en-GB"/>
        </w:rPr>
        <w:t>…………………………………………..28</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14.1</w:t>
      </w:r>
      <w:r w:rsidRPr="00156365">
        <w:rPr>
          <w:rFonts w:ascii="Arial" w:hAnsi="Arial" w:cs="Arial"/>
          <w:sz w:val="18"/>
          <w:szCs w:val="18"/>
          <w:lang w:val="en-GB"/>
        </w:rPr>
        <w:tab/>
        <w:t>Progress in the implementation of the integrated approach to territorial development, including development of regions facing demographic challenges and permanent or natural handicaps, sustainable urban development, and community-led local development under the operational programme.</w:t>
      </w:r>
      <w:r w:rsidRPr="00156365">
        <w:rPr>
          <w:rFonts w:ascii="Arial" w:hAnsi="Arial" w:cs="Arial"/>
          <w:sz w:val="18"/>
          <w:szCs w:val="18"/>
          <w:lang w:val="en-GB"/>
        </w:rPr>
        <w:tab/>
      </w:r>
      <w:r w:rsidR="00AF6C59">
        <w:rPr>
          <w:rFonts w:ascii="Arial" w:hAnsi="Arial" w:cs="Arial"/>
          <w:sz w:val="18"/>
          <w:szCs w:val="18"/>
          <w:lang w:val="en-GB"/>
        </w:rPr>
        <w:t>……………………..28</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14.2</w:t>
      </w:r>
      <w:r w:rsidRPr="00156365">
        <w:rPr>
          <w:rFonts w:ascii="Arial" w:hAnsi="Arial" w:cs="Arial"/>
          <w:sz w:val="18"/>
          <w:szCs w:val="18"/>
          <w:lang w:val="en-GB"/>
        </w:rPr>
        <w:tab/>
        <w:t>Progress in the implementation of actions to reinforce the capacity of Member State authorities and beneficiaries to administer and use the Funds</w:t>
      </w:r>
      <w:r w:rsidRPr="00156365">
        <w:rPr>
          <w:rFonts w:ascii="Arial" w:hAnsi="Arial" w:cs="Arial"/>
          <w:sz w:val="18"/>
          <w:szCs w:val="18"/>
          <w:lang w:val="en-GB"/>
        </w:rPr>
        <w:tab/>
      </w:r>
      <w:r w:rsidR="00AF6C59">
        <w:rPr>
          <w:rFonts w:ascii="Arial" w:hAnsi="Arial" w:cs="Arial"/>
          <w:sz w:val="18"/>
          <w:szCs w:val="18"/>
          <w:lang w:val="en-GB"/>
        </w:rPr>
        <w:t>………………………………………………………………29</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14.3</w:t>
      </w:r>
      <w:r w:rsidRPr="00156365">
        <w:rPr>
          <w:rFonts w:ascii="Arial" w:hAnsi="Arial" w:cs="Arial"/>
          <w:sz w:val="18"/>
          <w:szCs w:val="18"/>
          <w:lang w:val="en-GB"/>
        </w:rPr>
        <w:tab/>
        <w:t>Progress in the implementation of any interregional and transnational actions</w:t>
      </w:r>
      <w:r w:rsidRPr="00156365">
        <w:rPr>
          <w:rFonts w:ascii="Arial" w:hAnsi="Arial" w:cs="Arial"/>
          <w:sz w:val="18"/>
          <w:szCs w:val="18"/>
          <w:lang w:val="en-GB"/>
        </w:rPr>
        <w:tab/>
      </w:r>
      <w:r w:rsidR="00AF6C59">
        <w:rPr>
          <w:rFonts w:ascii="Arial" w:hAnsi="Arial" w:cs="Arial"/>
          <w:sz w:val="18"/>
          <w:szCs w:val="18"/>
          <w:lang w:val="en-GB"/>
        </w:rPr>
        <w:t>…………………….30</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14.4</w:t>
      </w:r>
      <w:r w:rsidRPr="00156365">
        <w:rPr>
          <w:rFonts w:ascii="Arial" w:hAnsi="Arial" w:cs="Arial"/>
          <w:sz w:val="18"/>
          <w:szCs w:val="18"/>
          <w:lang w:val="en-GB"/>
        </w:rPr>
        <w:tab/>
        <w:t>Where appropriate, contribution to macro-regional and sea basin strategies</w:t>
      </w:r>
      <w:r w:rsidRPr="00156365">
        <w:rPr>
          <w:rFonts w:ascii="Arial" w:hAnsi="Arial" w:cs="Arial"/>
          <w:sz w:val="18"/>
          <w:szCs w:val="18"/>
          <w:lang w:val="en-GB"/>
        </w:rPr>
        <w:tab/>
      </w:r>
      <w:r w:rsidR="00AF6C59">
        <w:rPr>
          <w:rFonts w:ascii="Arial" w:hAnsi="Arial" w:cs="Arial"/>
          <w:sz w:val="18"/>
          <w:szCs w:val="18"/>
          <w:lang w:val="en-GB"/>
        </w:rPr>
        <w:t>…………………….30</w:t>
      </w:r>
    </w:p>
    <w:p w:rsidR="00156365" w:rsidRPr="00156365" w:rsidRDefault="00156365" w:rsidP="00156365">
      <w:pPr>
        <w:tabs>
          <w:tab w:val="num" w:pos="567"/>
        </w:tabs>
        <w:spacing w:after="0" w:line="360" w:lineRule="auto"/>
        <w:jc w:val="both"/>
        <w:rPr>
          <w:rFonts w:ascii="Arial" w:hAnsi="Arial" w:cs="Arial"/>
          <w:sz w:val="18"/>
          <w:szCs w:val="18"/>
          <w:lang w:val="en-GB"/>
        </w:rPr>
      </w:pPr>
      <w:r w:rsidRPr="00156365">
        <w:rPr>
          <w:rFonts w:ascii="Arial" w:hAnsi="Arial" w:cs="Arial"/>
          <w:sz w:val="18"/>
          <w:szCs w:val="18"/>
          <w:lang w:val="en-GB"/>
        </w:rPr>
        <w:t>14.5</w:t>
      </w:r>
      <w:r w:rsidRPr="00156365">
        <w:rPr>
          <w:rFonts w:ascii="Arial" w:hAnsi="Arial" w:cs="Arial"/>
          <w:sz w:val="18"/>
          <w:szCs w:val="18"/>
          <w:lang w:val="en-GB"/>
        </w:rPr>
        <w:tab/>
        <w:t>Where appropriate, progress in the implementation of actions in</w:t>
      </w:r>
      <w:r w:rsidR="00AF6C59">
        <w:rPr>
          <w:rFonts w:ascii="Arial" w:hAnsi="Arial" w:cs="Arial"/>
          <w:sz w:val="18"/>
          <w:szCs w:val="18"/>
          <w:lang w:val="en-GB"/>
        </w:rPr>
        <w:t xml:space="preserve"> the field of social innovation……..31</w:t>
      </w:r>
    </w:p>
    <w:p w:rsidR="00156365" w:rsidRPr="00AF6C59" w:rsidRDefault="00156365" w:rsidP="00156365">
      <w:pPr>
        <w:tabs>
          <w:tab w:val="num" w:pos="567"/>
        </w:tabs>
        <w:spacing w:after="0" w:line="360" w:lineRule="auto"/>
        <w:jc w:val="both"/>
        <w:rPr>
          <w:rFonts w:ascii="Arial" w:hAnsi="Arial" w:cs="Arial"/>
          <w:sz w:val="18"/>
          <w:szCs w:val="18"/>
          <w:lang w:val="en-US"/>
        </w:rPr>
      </w:pPr>
      <w:r w:rsidRPr="00156365">
        <w:rPr>
          <w:rFonts w:ascii="Arial" w:hAnsi="Arial" w:cs="Arial"/>
          <w:sz w:val="18"/>
          <w:szCs w:val="18"/>
          <w:lang w:val="en-GB"/>
        </w:rPr>
        <w:t>14.6</w:t>
      </w:r>
      <w:r w:rsidRPr="00156365">
        <w:rPr>
          <w:rFonts w:ascii="Arial" w:hAnsi="Arial" w:cs="Arial"/>
          <w:sz w:val="18"/>
          <w:szCs w:val="18"/>
          <w:lang w:val="en-GB"/>
        </w:rPr>
        <w:tab/>
        <w:t>Progress in the implementation of measures to address the specific needs of geographical areas most affected by poverty or of target groups at highest risk of poverty, discrimination or social exclusion, with special regard to marginalised communities and persons with disabilities, long term unemployed and young people not in employment, including, where appropriate</w:t>
      </w:r>
      <w:r w:rsidR="00AF6C59">
        <w:rPr>
          <w:rFonts w:ascii="Arial" w:hAnsi="Arial" w:cs="Arial"/>
          <w:sz w:val="18"/>
          <w:szCs w:val="18"/>
          <w:lang w:val="en-GB"/>
        </w:rPr>
        <w:t>, the financial resources used……………………………………….31</w:t>
      </w:r>
    </w:p>
    <w:p w:rsidR="00156365" w:rsidRPr="00156365" w:rsidRDefault="00AF6C59" w:rsidP="00AF6C59">
      <w:pPr>
        <w:tabs>
          <w:tab w:val="num" w:pos="567"/>
          <w:tab w:val="left" w:pos="8789"/>
        </w:tabs>
        <w:spacing w:after="0" w:line="360" w:lineRule="auto"/>
        <w:jc w:val="both"/>
        <w:rPr>
          <w:rFonts w:ascii="Arial" w:hAnsi="Arial" w:cs="Arial"/>
          <w:sz w:val="18"/>
          <w:szCs w:val="18"/>
        </w:rPr>
      </w:pPr>
      <w:r>
        <w:rPr>
          <w:rFonts w:ascii="Arial" w:hAnsi="Arial" w:cs="Arial"/>
          <w:sz w:val="18"/>
          <w:szCs w:val="18"/>
        </w:rPr>
        <w:t>List of appendices………………………………………………………………………………………………………..33</w:t>
      </w:r>
    </w:p>
    <w:p w:rsidR="00156365" w:rsidRPr="00156365" w:rsidRDefault="00156365" w:rsidP="00B16A3C">
      <w:pPr>
        <w:tabs>
          <w:tab w:val="num" w:pos="567"/>
        </w:tabs>
        <w:spacing w:after="0" w:line="360" w:lineRule="auto"/>
        <w:jc w:val="both"/>
        <w:rPr>
          <w:rFonts w:ascii="Arial" w:hAnsi="Arial" w:cs="Arial"/>
          <w:sz w:val="18"/>
          <w:szCs w:val="18"/>
        </w:rPr>
      </w:pPr>
    </w:p>
    <w:sectPr w:rsidR="00156365" w:rsidRPr="00156365">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365" w:rsidRDefault="00156365" w:rsidP="000F69F9">
      <w:pPr>
        <w:spacing w:after="0" w:line="240" w:lineRule="auto"/>
      </w:pPr>
      <w:r>
        <w:separator/>
      </w:r>
    </w:p>
  </w:endnote>
  <w:endnote w:type="continuationSeparator" w:id="0">
    <w:p w:rsidR="00156365" w:rsidRDefault="00156365" w:rsidP="000F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340520"/>
      <w:docPartObj>
        <w:docPartGallery w:val="Page Numbers (Bottom of Page)"/>
        <w:docPartUnique/>
      </w:docPartObj>
    </w:sdtPr>
    <w:sdtEndPr>
      <w:rPr>
        <w:noProof/>
      </w:rPr>
    </w:sdtEndPr>
    <w:sdtContent>
      <w:p w:rsidR="00156365" w:rsidRDefault="00156365">
        <w:pPr>
          <w:pStyle w:val="Stopka"/>
          <w:jc w:val="right"/>
        </w:pPr>
        <w:r>
          <w:fldChar w:fldCharType="begin"/>
        </w:r>
        <w:r>
          <w:instrText xml:space="preserve"> PAGE   \* MERGEFORMAT </w:instrText>
        </w:r>
        <w:r>
          <w:fldChar w:fldCharType="separate"/>
        </w:r>
        <w:r w:rsidR="00C33A1C">
          <w:rPr>
            <w:noProof/>
          </w:rPr>
          <w:t>1</w:t>
        </w:r>
        <w:r>
          <w:rPr>
            <w:noProof/>
          </w:rPr>
          <w:fldChar w:fldCharType="end"/>
        </w:r>
      </w:p>
    </w:sdtContent>
  </w:sdt>
  <w:p w:rsidR="00156365" w:rsidRDefault="0015636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365" w:rsidRDefault="00156365" w:rsidP="000F69F9">
      <w:pPr>
        <w:spacing w:after="0" w:line="240" w:lineRule="auto"/>
      </w:pPr>
      <w:r>
        <w:separator/>
      </w:r>
    </w:p>
  </w:footnote>
  <w:footnote w:type="continuationSeparator" w:id="0">
    <w:p w:rsidR="00156365" w:rsidRDefault="00156365" w:rsidP="000F69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F1C86"/>
    <w:multiLevelType w:val="hybridMultilevel"/>
    <w:tmpl w:val="CEE858F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D801D48"/>
    <w:multiLevelType w:val="hybridMultilevel"/>
    <w:tmpl w:val="2FB0F606"/>
    <w:lvl w:ilvl="0" w:tplc="CA98AD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D20D68"/>
    <w:multiLevelType w:val="hybridMultilevel"/>
    <w:tmpl w:val="0DFE2A1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5B45061"/>
    <w:multiLevelType w:val="hybridMultilevel"/>
    <w:tmpl w:val="BEAED2A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AA3153F"/>
    <w:multiLevelType w:val="hybridMultilevel"/>
    <w:tmpl w:val="A7D0826A"/>
    <w:lvl w:ilvl="0" w:tplc="CFB4B9DE">
      <w:start w:val="1"/>
      <w:numFmt w:val="bullet"/>
      <w:lvlText w:val=""/>
      <w:lvlJc w:val="left"/>
      <w:pPr>
        <w:ind w:left="92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E677CB"/>
    <w:multiLevelType w:val="hybridMultilevel"/>
    <w:tmpl w:val="F3C67A6A"/>
    <w:lvl w:ilvl="0" w:tplc="CA98AD2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955730"/>
    <w:multiLevelType w:val="hybridMultilevel"/>
    <w:tmpl w:val="0FBC1E6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2DA4F4D"/>
    <w:multiLevelType w:val="hybridMultilevel"/>
    <w:tmpl w:val="07A6A57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2AE70EDB"/>
    <w:multiLevelType w:val="hybridMultilevel"/>
    <w:tmpl w:val="3E884646"/>
    <w:lvl w:ilvl="0" w:tplc="E634FD3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C672C11"/>
    <w:multiLevelType w:val="hybridMultilevel"/>
    <w:tmpl w:val="72EA1D1A"/>
    <w:lvl w:ilvl="0" w:tplc="0AF0ED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E43072F"/>
    <w:multiLevelType w:val="multilevel"/>
    <w:tmpl w:val="66D20278"/>
    <w:lvl w:ilvl="0">
      <w:start w:val="3"/>
      <w:numFmt w:val="decimal"/>
      <w:lvlText w:val="%1."/>
      <w:lvlJc w:val="left"/>
      <w:pPr>
        <w:ind w:left="720" w:hanging="360"/>
      </w:pPr>
      <w:rPr>
        <w:rFonts w:hint="default"/>
      </w:rPr>
    </w:lvl>
    <w:lvl w:ilvl="1">
      <w:start w:val="1"/>
      <w:numFmt w:val="decimal"/>
      <w:isLgl/>
      <w:lvlText w:val="%1.%2"/>
      <w:lvlJc w:val="left"/>
      <w:pPr>
        <w:ind w:left="114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572BE4"/>
    <w:multiLevelType w:val="hybridMultilevel"/>
    <w:tmpl w:val="FB8233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EE1554"/>
    <w:multiLevelType w:val="hybridMultilevel"/>
    <w:tmpl w:val="BBB6ADE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345D1A1E"/>
    <w:multiLevelType w:val="hybridMultilevel"/>
    <w:tmpl w:val="3A9CC9AC"/>
    <w:lvl w:ilvl="0" w:tplc="50427AC4">
      <w:start w:val="1"/>
      <w:numFmt w:val="bullet"/>
      <w:lvlText w:val="•"/>
      <w:lvlJc w:val="left"/>
      <w:pPr>
        <w:tabs>
          <w:tab w:val="num" w:pos="720"/>
        </w:tabs>
        <w:ind w:left="720" w:hanging="360"/>
      </w:pPr>
      <w:rPr>
        <w:rFonts w:ascii="Times New Roman" w:hAnsi="Times New Roman" w:hint="default"/>
      </w:rPr>
    </w:lvl>
    <w:lvl w:ilvl="1" w:tplc="0F92C3DC" w:tentative="1">
      <w:start w:val="1"/>
      <w:numFmt w:val="bullet"/>
      <w:lvlText w:val="•"/>
      <w:lvlJc w:val="left"/>
      <w:pPr>
        <w:tabs>
          <w:tab w:val="num" w:pos="1440"/>
        </w:tabs>
        <w:ind w:left="1440" w:hanging="360"/>
      </w:pPr>
      <w:rPr>
        <w:rFonts w:ascii="Times New Roman" w:hAnsi="Times New Roman" w:hint="default"/>
      </w:rPr>
    </w:lvl>
    <w:lvl w:ilvl="2" w:tplc="41360F94" w:tentative="1">
      <w:start w:val="1"/>
      <w:numFmt w:val="bullet"/>
      <w:lvlText w:val="•"/>
      <w:lvlJc w:val="left"/>
      <w:pPr>
        <w:tabs>
          <w:tab w:val="num" w:pos="2160"/>
        </w:tabs>
        <w:ind w:left="2160" w:hanging="360"/>
      </w:pPr>
      <w:rPr>
        <w:rFonts w:ascii="Times New Roman" w:hAnsi="Times New Roman" w:hint="default"/>
      </w:rPr>
    </w:lvl>
    <w:lvl w:ilvl="3" w:tplc="0DC6D514" w:tentative="1">
      <w:start w:val="1"/>
      <w:numFmt w:val="bullet"/>
      <w:lvlText w:val="•"/>
      <w:lvlJc w:val="left"/>
      <w:pPr>
        <w:tabs>
          <w:tab w:val="num" w:pos="2880"/>
        </w:tabs>
        <w:ind w:left="2880" w:hanging="360"/>
      </w:pPr>
      <w:rPr>
        <w:rFonts w:ascii="Times New Roman" w:hAnsi="Times New Roman" w:hint="default"/>
      </w:rPr>
    </w:lvl>
    <w:lvl w:ilvl="4" w:tplc="1D885E08" w:tentative="1">
      <w:start w:val="1"/>
      <w:numFmt w:val="bullet"/>
      <w:lvlText w:val="•"/>
      <w:lvlJc w:val="left"/>
      <w:pPr>
        <w:tabs>
          <w:tab w:val="num" w:pos="3600"/>
        </w:tabs>
        <w:ind w:left="3600" w:hanging="360"/>
      </w:pPr>
      <w:rPr>
        <w:rFonts w:ascii="Times New Roman" w:hAnsi="Times New Roman" w:hint="default"/>
      </w:rPr>
    </w:lvl>
    <w:lvl w:ilvl="5" w:tplc="F17E0950" w:tentative="1">
      <w:start w:val="1"/>
      <w:numFmt w:val="bullet"/>
      <w:lvlText w:val="•"/>
      <w:lvlJc w:val="left"/>
      <w:pPr>
        <w:tabs>
          <w:tab w:val="num" w:pos="4320"/>
        </w:tabs>
        <w:ind w:left="4320" w:hanging="360"/>
      </w:pPr>
      <w:rPr>
        <w:rFonts w:ascii="Times New Roman" w:hAnsi="Times New Roman" w:hint="default"/>
      </w:rPr>
    </w:lvl>
    <w:lvl w:ilvl="6" w:tplc="AE5C787C" w:tentative="1">
      <w:start w:val="1"/>
      <w:numFmt w:val="bullet"/>
      <w:lvlText w:val="•"/>
      <w:lvlJc w:val="left"/>
      <w:pPr>
        <w:tabs>
          <w:tab w:val="num" w:pos="5040"/>
        </w:tabs>
        <w:ind w:left="5040" w:hanging="360"/>
      </w:pPr>
      <w:rPr>
        <w:rFonts w:ascii="Times New Roman" w:hAnsi="Times New Roman" w:hint="default"/>
      </w:rPr>
    </w:lvl>
    <w:lvl w:ilvl="7" w:tplc="A66C10D2" w:tentative="1">
      <w:start w:val="1"/>
      <w:numFmt w:val="bullet"/>
      <w:lvlText w:val="•"/>
      <w:lvlJc w:val="left"/>
      <w:pPr>
        <w:tabs>
          <w:tab w:val="num" w:pos="5760"/>
        </w:tabs>
        <w:ind w:left="5760" w:hanging="360"/>
      </w:pPr>
      <w:rPr>
        <w:rFonts w:ascii="Times New Roman" w:hAnsi="Times New Roman" w:hint="default"/>
      </w:rPr>
    </w:lvl>
    <w:lvl w:ilvl="8" w:tplc="B52C01D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57D2DA5"/>
    <w:multiLevelType w:val="hybridMultilevel"/>
    <w:tmpl w:val="89CCCF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792272B"/>
    <w:multiLevelType w:val="hybridMultilevel"/>
    <w:tmpl w:val="D0F26948"/>
    <w:lvl w:ilvl="0" w:tplc="CA98AD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08565C7"/>
    <w:multiLevelType w:val="hybridMultilevel"/>
    <w:tmpl w:val="F828BB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575DC9"/>
    <w:multiLevelType w:val="hybridMultilevel"/>
    <w:tmpl w:val="7C3ECA78"/>
    <w:lvl w:ilvl="0" w:tplc="DE842688">
      <w:start w:val="1"/>
      <w:numFmt w:val="bullet"/>
      <w:lvlText w:val="•"/>
      <w:lvlJc w:val="left"/>
      <w:pPr>
        <w:tabs>
          <w:tab w:val="num" w:pos="720"/>
        </w:tabs>
        <w:ind w:left="720" w:hanging="360"/>
      </w:pPr>
      <w:rPr>
        <w:rFonts w:ascii="Times New Roman" w:hAnsi="Times New Roman" w:hint="default"/>
      </w:rPr>
    </w:lvl>
    <w:lvl w:ilvl="1" w:tplc="74821C82" w:tentative="1">
      <w:start w:val="1"/>
      <w:numFmt w:val="bullet"/>
      <w:lvlText w:val="•"/>
      <w:lvlJc w:val="left"/>
      <w:pPr>
        <w:tabs>
          <w:tab w:val="num" w:pos="1440"/>
        </w:tabs>
        <w:ind w:left="1440" w:hanging="360"/>
      </w:pPr>
      <w:rPr>
        <w:rFonts w:ascii="Times New Roman" w:hAnsi="Times New Roman" w:hint="default"/>
      </w:rPr>
    </w:lvl>
    <w:lvl w:ilvl="2" w:tplc="31C25294" w:tentative="1">
      <w:start w:val="1"/>
      <w:numFmt w:val="bullet"/>
      <w:lvlText w:val="•"/>
      <w:lvlJc w:val="left"/>
      <w:pPr>
        <w:tabs>
          <w:tab w:val="num" w:pos="2160"/>
        </w:tabs>
        <w:ind w:left="2160" w:hanging="360"/>
      </w:pPr>
      <w:rPr>
        <w:rFonts w:ascii="Times New Roman" w:hAnsi="Times New Roman" w:hint="default"/>
      </w:rPr>
    </w:lvl>
    <w:lvl w:ilvl="3" w:tplc="86CA961C" w:tentative="1">
      <w:start w:val="1"/>
      <w:numFmt w:val="bullet"/>
      <w:lvlText w:val="•"/>
      <w:lvlJc w:val="left"/>
      <w:pPr>
        <w:tabs>
          <w:tab w:val="num" w:pos="2880"/>
        </w:tabs>
        <w:ind w:left="2880" w:hanging="360"/>
      </w:pPr>
      <w:rPr>
        <w:rFonts w:ascii="Times New Roman" w:hAnsi="Times New Roman" w:hint="default"/>
      </w:rPr>
    </w:lvl>
    <w:lvl w:ilvl="4" w:tplc="50F2DE58" w:tentative="1">
      <w:start w:val="1"/>
      <w:numFmt w:val="bullet"/>
      <w:lvlText w:val="•"/>
      <w:lvlJc w:val="left"/>
      <w:pPr>
        <w:tabs>
          <w:tab w:val="num" w:pos="3600"/>
        </w:tabs>
        <w:ind w:left="3600" w:hanging="360"/>
      </w:pPr>
      <w:rPr>
        <w:rFonts w:ascii="Times New Roman" w:hAnsi="Times New Roman" w:hint="default"/>
      </w:rPr>
    </w:lvl>
    <w:lvl w:ilvl="5" w:tplc="6A1AE8A6" w:tentative="1">
      <w:start w:val="1"/>
      <w:numFmt w:val="bullet"/>
      <w:lvlText w:val="•"/>
      <w:lvlJc w:val="left"/>
      <w:pPr>
        <w:tabs>
          <w:tab w:val="num" w:pos="4320"/>
        </w:tabs>
        <w:ind w:left="4320" w:hanging="360"/>
      </w:pPr>
      <w:rPr>
        <w:rFonts w:ascii="Times New Roman" w:hAnsi="Times New Roman" w:hint="default"/>
      </w:rPr>
    </w:lvl>
    <w:lvl w:ilvl="6" w:tplc="EBDE21AE" w:tentative="1">
      <w:start w:val="1"/>
      <w:numFmt w:val="bullet"/>
      <w:lvlText w:val="•"/>
      <w:lvlJc w:val="left"/>
      <w:pPr>
        <w:tabs>
          <w:tab w:val="num" w:pos="5040"/>
        </w:tabs>
        <w:ind w:left="5040" w:hanging="360"/>
      </w:pPr>
      <w:rPr>
        <w:rFonts w:ascii="Times New Roman" w:hAnsi="Times New Roman" w:hint="default"/>
      </w:rPr>
    </w:lvl>
    <w:lvl w:ilvl="7" w:tplc="6E7265AE" w:tentative="1">
      <w:start w:val="1"/>
      <w:numFmt w:val="bullet"/>
      <w:lvlText w:val="•"/>
      <w:lvlJc w:val="left"/>
      <w:pPr>
        <w:tabs>
          <w:tab w:val="num" w:pos="5760"/>
        </w:tabs>
        <w:ind w:left="5760" w:hanging="360"/>
      </w:pPr>
      <w:rPr>
        <w:rFonts w:ascii="Times New Roman" w:hAnsi="Times New Roman" w:hint="default"/>
      </w:rPr>
    </w:lvl>
    <w:lvl w:ilvl="8" w:tplc="3C642D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7541FA7"/>
    <w:multiLevelType w:val="hybridMultilevel"/>
    <w:tmpl w:val="FDBCCB9E"/>
    <w:lvl w:ilvl="0" w:tplc="9E4C5E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242B2D"/>
    <w:multiLevelType w:val="hybridMultilevel"/>
    <w:tmpl w:val="37728FB6"/>
    <w:lvl w:ilvl="0" w:tplc="0AF0ED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2DE63DD"/>
    <w:multiLevelType w:val="hybridMultilevel"/>
    <w:tmpl w:val="7D42C7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650214"/>
    <w:multiLevelType w:val="hybridMultilevel"/>
    <w:tmpl w:val="C22CC0D0"/>
    <w:lvl w:ilvl="0" w:tplc="CA98AD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30631F9"/>
    <w:multiLevelType w:val="hybridMultilevel"/>
    <w:tmpl w:val="F5741DF2"/>
    <w:lvl w:ilvl="0" w:tplc="F774CABC">
      <w:start w:val="1"/>
      <w:numFmt w:val="upperRoman"/>
      <w:lvlText w:val="%1."/>
      <w:lvlJc w:val="left"/>
      <w:pPr>
        <w:tabs>
          <w:tab w:val="num" w:pos="1080"/>
        </w:tabs>
        <w:ind w:left="1080" w:hanging="720"/>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23" w15:restartNumberingAfterBreak="0">
    <w:nsid w:val="63063A56"/>
    <w:multiLevelType w:val="hybridMultilevel"/>
    <w:tmpl w:val="6DB8A3D6"/>
    <w:lvl w:ilvl="0" w:tplc="CA98AD2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4" w15:restartNumberingAfterBreak="0">
    <w:nsid w:val="6719649E"/>
    <w:multiLevelType w:val="hybridMultilevel"/>
    <w:tmpl w:val="FC96C6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6CEA2C8D"/>
    <w:multiLevelType w:val="hybridMultilevel"/>
    <w:tmpl w:val="A7EC8CBE"/>
    <w:lvl w:ilvl="0" w:tplc="CA98AD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DA77763"/>
    <w:multiLevelType w:val="hybridMultilevel"/>
    <w:tmpl w:val="DF848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1A10500"/>
    <w:multiLevelType w:val="hybridMultilevel"/>
    <w:tmpl w:val="31E692FA"/>
    <w:lvl w:ilvl="0" w:tplc="5110474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7276796E"/>
    <w:multiLevelType w:val="hybridMultilevel"/>
    <w:tmpl w:val="73C492FA"/>
    <w:lvl w:ilvl="0" w:tplc="D8748E9A">
      <w:start w:val="1"/>
      <w:numFmt w:val="bullet"/>
      <w:lvlText w:val="­"/>
      <w:lvlJc w:val="left"/>
      <w:pPr>
        <w:ind w:left="720" w:hanging="360"/>
      </w:pPr>
      <w:rPr>
        <w:rFonts w:ascii="Courier New" w:hAnsi="Courier New"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28B08E1"/>
    <w:multiLevelType w:val="hybridMultilevel"/>
    <w:tmpl w:val="89506B18"/>
    <w:lvl w:ilvl="0" w:tplc="CA98AD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71C3CB6"/>
    <w:multiLevelType w:val="hybridMultilevel"/>
    <w:tmpl w:val="6A74811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D476C93"/>
    <w:multiLevelType w:val="hybridMultilevel"/>
    <w:tmpl w:val="13F028D4"/>
    <w:lvl w:ilvl="0" w:tplc="9E4C5EC6">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F91D27"/>
    <w:multiLevelType w:val="hybridMultilevel"/>
    <w:tmpl w:val="0F34AEC2"/>
    <w:lvl w:ilvl="0" w:tplc="0AF0ED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FC216C3"/>
    <w:multiLevelType w:val="hybridMultilevel"/>
    <w:tmpl w:val="B5028D18"/>
    <w:lvl w:ilvl="0" w:tplc="5FA8297A">
      <w:start w:val="1"/>
      <w:numFmt w:val="bullet"/>
      <w:lvlText w:val="•"/>
      <w:lvlJc w:val="left"/>
      <w:pPr>
        <w:tabs>
          <w:tab w:val="num" w:pos="720"/>
        </w:tabs>
        <w:ind w:left="720" w:hanging="360"/>
      </w:pPr>
      <w:rPr>
        <w:rFonts w:ascii="Times New Roman" w:hAnsi="Times New Roman" w:hint="default"/>
      </w:rPr>
    </w:lvl>
    <w:lvl w:ilvl="1" w:tplc="8870B94A" w:tentative="1">
      <w:start w:val="1"/>
      <w:numFmt w:val="bullet"/>
      <w:lvlText w:val="•"/>
      <w:lvlJc w:val="left"/>
      <w:pPr>
        <w:tabs>
          <w:tab w:val="num" w:pos="1440"/>
        </w:tabs>
        <w:ind w:left="1440" w:hanging="360"/>
      </w:pPr>
      <w:rPr>
        <w:rFonts w:ascii="Times New Roman" w:hAnsi="Times New Roman" w:hint="default"/>
      </w:rPr>
    </w:lvl>
    <w:lvl w:ilvl="2" w:tplc="F45E6F26" w:tentative="1">
      <w:start w:val="1"/>
      <w:numFmt w:val="bullet"/>
      <w:lvlText w:val="•"/>
      <w:lvlJc w:val="left"/>
      <w:pPr>
        <w:tabs>
          <w:tab w:val="num" w:pos="2160"/>
        </w:tabs>
        <w:ind w:left="2160" w:hanging="360"/>
      </w:pPr>
      <w:rPr>
        <w:rFonts w:ascii="Times New Roman" w:hAnsi="Times New Roman" w:hint="default"/>
      </w:rPr>
    </w:lvl>
    <w:lvl w:ilvl="3" w:tplc="716E0598" w:tentative="1">
      <w:start w:val="1"/>
      <w:numFmt w:val="bullet"/>
      <w:lvlText w:val="•"/>
      <w:lvlJc w:val="left"/>
      <w:pPr>
        <w:tabs>
          <w:tab w:val="num" w:pos="2880"/>
        </w:tabs>
        <w:ind w:left="2880" w:hanging="360"/>
      </w:pPr>
      <w:rPr>
        <w:rFonts w:ascii="Times New Roman" w:hAnsi="Times New Roman" w:hint="default"/>
      </w:rPr>
    </w:lvl>
    <w:lvl w:ilvl="4" w:tplc="E5B4CDE4" w:tentative="1">
      <w:start w:val="1"/>
      <w:numFmt w:val="bullet"/>
      <w:lvlText w:val="•"/>
      <w:lvlJc w:val="left"/>
      <w:pPr>
        <w:tabs>
          <w:tab w:val="num" w:pos="3600"/>
        </w:tabs>
        <w:ind w:left="3600" w:hanging="360"/>
      </w:pPr>
      <w:rPr>
        <w:rFonts w:ascii="Times New Roman" w:hAnsi="Times New Roman" w:hint="default"/>
      </w:rPr>
    </w:lvl>
    <w:lvl w:ilvl="5" w:tplc="267CABD2" w:tentative="1">
      <w:start w:val="1"/>
      <w:numFmt w:val="bullet"/>
      <w:lvlText w:val="•"/>
      <w:lvlJc w:val="left"/>
      <w:pPr>
        <w:tabs>
          <w:tab w:val="num" w:pos="4320"/>
        </w:tabs>
        <w:ind w:left="4320" w:hanging="360"/>
      </w:pPr>
      <w:rPr>
        <w:rFonts w:ascii="Times New Roman" w:hAnsi="Times New Roman" w:hint="default"/>
      </w:rPr>
    </w:lvl>
    <w:lvl w:ilvl="6" w:tplc="26BC84B8" w:tentative="1">
      <w:start w:val="1"/>
      <w:numFmt w:val="bullet"/>
      <w:lvlText w:val="•"/>
      <w:lvlJc w:val="left"/>
      <w:pPr>
        <w:tabs>
          <w:tab w:val="num" w:pos="5040"/>
        </w:tabs>
        <w:ind w:left="5040" w:hanging="360"/>
      </w:pPr>
      <w:rPr>
        <w:rFonts w:ascii="Times New Roman" w:hAnsi="Times New Roman" w:hint="default"/>
      </w:rPr>
    </w:lvl>
    <w:lvl w:ilvl="7" w:tplc="086696F2" w:tentative="1">
      <w:start w:val="1"/>
      <w:numFmt w:val="bullet"/>
      <w:lvlText w:val="•"/>
      <w:lvlJc w:val="left"/>
      <w:pPr>
        <w:tabs>
          <w:tab w:val="num" w:pos="5760"/>
        </w:tabs>
        <w:ind w:left="5760" w:hanging="360"/>
      </w:pPr>
      <w:rPr>
        <w:rFonts w:ascii="Times New Roman" w:hAnsi="Times New Roman" w:hint="default"/>
      </w:rPr>
    </w:lvl>
    <w:lvl w:ilvl="8" w:tplc="6180C43C"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23"/>
  </w:num>
  <w:num w:numId="3">
    <w:abstractNumId w:val="28"/>
  </w:num>
  <w:num w:numId="4">
    <w:abstractNumId w:val="14"/>
  </w:num>
  <w:num w:numId="5">
    <w:abstractNumId w:val="24"/>
  </w:num>
  <w:num w:numId="6">
    <w:abstractNumId w:val="10"/>
  </w:num>
  <w:num w:numId="7">
    <w:abstractNumId w:val="20"/>
  </w:num>
  <w:num w:numId="8">
    <w:abstractNumId w:val="32"/>
  </w:num>
  <w:num w:numId="9">
    <w:abstractNumId w:val="9"/>
  </w:num>
  <w:num w:numId="10">
    <w:abstractNumId w:val="19"/>
  </w:num>
  <w:num w:numId="11">
    <w:abstractNumId w:val="26"/>
  </w:num>
  <w:num w:numId="12">
    <w:abstractNumId w:val="1"/>
  </w:num>
  <w:num w:numId="13">
    <w:abstractNumId w:val="21"/>
  </w:num>
  <w:num w:numId="14">
    <w:abstractNumId w:val="8"/>
  </w:num>
  <w:num w:numId="15">
    <w:abstractNumId w:val="31"/>
  </w:num>
  <w:num w:numId="16">
    <w:abstractNumId w:val="18"/>
  </w:num>
  <w:num w:numId="17">
    <w:abstractNumId w:val="12"/>
  </w:num>
  <w:num w:numId="18">
    <w:abstractNumId w:val="5"/>
  </w:num>
  <w:num w:numId="19">
    <w:abstractNumId w:val="15"/>
  </w:num>
  <w:num w:numId="20">
    <w:abstractNumId w:val="2"/>
  </w:num>
  <w:num w:numId="21">
    <w:abstractNumId w:val="27"/>
  </w:num>
  <w:num w:numId="22">
    <w:abstractNumId w:val="22"/>
  </w:num>
  <w:num w:numId="23">
    <w:abstractNumId w:val="11"/>
  </w:num>
  <w:num w:numId="24">
    <w:abstractNumId w:val="13"/>
  </w:num>
  <w:num w:numId="25">
    <w:abstractNumId w:val="17"/>
  </w:num>
  <w:num w:numId="26">
    <w:abstractNumId w:val="0"/>
  </w:num>
  <w:num w:numId="27">
    <w:abstractNumId w:val="33"/>
  </w:num>
  <w:num w:numId="28">
    <w:abstractNumId w:val="7"/>
  </w:num>
  <w:num w:numId="29">
    <w:abstractNumId w:val="3"/>
  </w:num>
  <w:num w:numId="30">
    <w:abstractNumId w:val="30"/>
  </w:num>
  <w:num w:numId="31">
    <w:abstractNumId w:val="29"/>
  </w:num>
  <w:num w:numId="32">
    <w:abstractNumId w:val="6"/>
  </w:num>
  <w:num w:numId="33">
    <w:abstractNumId w:val="25"/>
  </w:num>
  <w:num w:numId="34">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74"/>
    <w:rsid w:val="000269B2"/>
    <w:rsid w:val="000368B7"/>
    <w:rsid w:val="00095F86"/>
    <w:rsid w:val="000B35BF"/>
    <w:rsid w:val="000B4232"/>
    <w:rsid w:val="000C1674"/>
    <w:rsid w:val="000F69F9"/>
    <w:rsid w:val="001159AD"/>
    <w:rsid w:val="00156365"/>
    <w:rsid w:val="001F355D"/>
    <w:rsid w:val="0022372D"/>
    <w:rsid w:val="0024526E"/>
    <w:rsid w:val="00256164"/>
    <w:rsid w:val="00260F9F"/>
    <w:rsid w:val="002635FD"/>
    <w:rsid w:val="002C1CDC"/>
    <w:rsid w:val="002E2ECB"/>
    <w:rsid w:val="00344C13"/>
    <w:rsid w:val="003544D0"/>
    <w:rsid w:val="00394808"/>
    <w:rsid w:val="003B57CC"/>
    <w:rsid w:val="003E3BCB"/>
    <w:rsid w:val="0043348F"/>
    <w:rsid w:val="00477249"/>
    <w:rsid w:val="004A009E"/>
    <w:rsid w:val="005426D4"/>
    <w:rsid w:val="00563254"/>
    <w:rsid w:val="005718B4"/>
    <w:rsid w:val="005954FB"/>
    <w:rsid w:val="005D7874"/>
    <w:rsid w:val="006102EC"/>
    <w:rsid w:val="006216C7"/>
    <w:rsid w:val="00651501"/>
    <w:rsid w:val="00667579"/>
    <w:rsid w:val="0069535A"/>
    <w:rsid w:val="006B0E30"/>
    <w:rsid w:val="006D646D"/>
    <w:rsid w:val="006E1076"/>
    <w:rsid w:val="006E1C3C"/>
    <w:rsid w:val="00727124"/>
    <w:rsid w:val="007324C9"/>
    <w:rsid w:val="007B4DF3"/>
    <w:rsid w:val="007B5FE0"/>
    <w:rsid w:val="007F6167"/>
    <w:rsid w:val="007F76C7"/>
    <w:rsid w:val="00821C81"/>
    <w:rsid w:val="008638C2"/>
    <w:rsid w:val="00877332"/>
    <w:rsid w:val="00897FAA"/>
    <w:rsid w:val="008A097B"/>
    <w:rsid w:val="008E10C1"/>
    <w:rsid w:val="00935CAC"/>
    <w:rsid w:val="00981E98"/>
    <w:rsid w:val="00983741"/>
    <w:rsid w:val="00986350"/>
    <w:rsid w:val="009A1C11"/>
    <w:rsid w:val="009B734C"/>
    <w:rsid w:val="00A03DDC"/>
    <w:rsid w:val="00A14F5A"/>
    <w:rsid w:val="00A4381A"/>
    <w:rsid w:val="00A722A5"/>
    <w:rsid w:val="00A86C2C"/>
    <w:rsid w:val="00A878AE"/>
    <w:rsid w:val="00AE2870"/>
    <w:rsid w:val="00AE5D1D"/>
    <w:rsid w:val="00AE748E"/>
    <w:rsid w:val="00AF2784"/>
    <w:rsid w:val="00AF6C59"/>
    <w:rsid w:val="00B02BA2"/>
    <w:rsid w:val="00B16A3C"/>
    <w:rsid w:val="00B35AAB"/>
    <w:rsid w:val="00B47E6C"/>
    <w:rsid w:val="00B65DA0"/>
    <w:rsid w:val="00BB718E"/>
    <w:rsid w:val="00BB7EBA"/>
    <w:rsid w:val="00BC31A1"/>
    <w:rsid w:val="00C25F77"/>
    <w:rsid w:val="00C27872"/>
    <w:rsid w:val="00C33A1C"/>
    <w:rsid w:val="00C657EA"/>
    <w:rsid w:val="00CB15C1"/>
    <w:rsid w:val="00CF3202"/>
    <w:rsid w:val="00D10013"/>
    <w:rsid w:val="00D1505B"/>
    <w:rsid w:val="00D34241"/>
    <w:rsid w:val="00D41A1B"/>
    <w:rsid w:val="00D8047E"/>
    <w:rsid w:val="00D86ECD"/>
    <w:rsid w:val="00D92929"/>
    <w:rsid w:val="00DA279C"/>
    <w:rsid w:val="00DA5EB5"/>
    <w:rsid w:val="00DA70B8"/>
    <w:rsid w:val="00DB133F"/>
    <w:rsid w:val="00DC68AD"/>
    <w:rsid w:val="00DD2896"/>
    <w:rsid w:val="00DE26D3"/>
    <w:rsid w:val="00E1448E"/>
    <w:rsid w:val="00E4418A"/>
    <w:rsid w:val="00E93C25"/>
    <w:rsid w:val="00EA2DDF"/>
    <w:rsid w:val="00EE1A15"/>
    <w:rsid w:val="00FB68F8"/>
    <w:rsid w:val="00FD1C73"/>
    <w:rsid w:val="00FD2E15"/>
    <w:rsid w:val="00FD37F3"/>
    <w:rsid w:val="00FE063B"/>
    <w:rsid w:val="00FF3508"/>
    <w:rsid w:val="00FF7F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4E9DE0-13D9-4456-BA65-664C9072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A14F5A"/>
    <w:pPr>
      <w:suppressAutoHyphens/>
      <w:spacing w:after="0" w:line="240" w:lineRule="auto"/>
      <w:ind w:left="720"/>
    </w:pPr>
    <w:rPr>
      <w:rFonts w:ascii="Times New Roman" w:eastAsia="Times New Roman" w:hAnsi="Times New Roman" w:cs="Calibri"/>
      <w:kern w:val="2"/>
      <w:sz w:val="24"/>
      <w:szCs w:val="24"/>
      <w:lang w:eastAsia="ar-SA"/>
    </w:rPr>
  </w:style>
  <w:style w:type="character" w:styleId="Hipercze">
    <w:name w:val="Hyperlink"/>
    <w:uiPriority w:val="99"/>
    <w:unhideWhenUsed/>
    <w:rsid w:val="00727124"/>
    <w:rPr>
      <w:color w:val="0000FF"/>
      <w:u w:val="single"/>
    </w:rPr>
  </w:style>
  <w:style w:type="paragraph" w:styleId="Akapitzlist">
    <w:name w:val="List Paragraph"/>
    <w:aliases w:val="Numerowanie,List Paragraph,Akapit z listą BS,A_wyliczenie,K-P_odwolanie,Akapit z listą5,maz_wyliczenie,opis dzialania"/>
    <w:basedOn w:val="Normalny"/>
    <w:link w:val="AkapitzlistZnak"/>
    <w:uiPriority w:val="34"/>
    <w:qFormat/>
    <w:rsid w:val="00D34241"/>
    <w:pPr>
      <w:ind w:left="720"/>
      <w:contextualSpacing/>
    </w:pPr>
  </w:style>
  <w:style w:type="character" w:styleId="Odwoaniedokomentarza">
    <w:name w:val="annotation reference"/>
    <w:basedOn w:val="Domylnaczcionkaakapitu"/>
    <w:uiPriority w:val="99"/>
    <w:semiHidden/>
    <w:unhideWhenUsed/>
    <w:rsid w:val="00D10013"/>
    <w:rPr>
      <w:sz w:val="16"/>
      <w:szCs w:val="16"/>
    </w:rPr>
  </w:style>
  <w:style w:type="paragraph" w:styleId="Tekstkomentarza">
    <w:name w:val="annotation text"/>
    <w:basedOn w:val="Normalny"/>
    <w:link w:val="TekstkomentarzaZnak"/>
    <w:uiPriority w:val="99"/>
    <w:semiHidden/>
    <w:unhideWhenUsed/>
    <w:rsid w:val="00D100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10013"/>
    <w:rPr>
      <w:sz w:val="20"/>
      <w:szCs w:val="20"/>
    </w:rPr>
  </w:style>
  <w:style w:type="paragraph" w:styleId="Tematkomentarza">
    <w:name w:val="annotation subject"/>
    <w:basedOn w:val="Tekstkomentarza"/>
    <w:next w:val="Tekstkomentarza"/>
    <w:link w:val="TematkomentarzaZnak"/>
    <w:uiPriority w:val="99"/>
    <w:semiHidden/>
    <w:unhideWhenUsed/>
    <w:rsid w:val="00D10013"/>
    <w:rPr>
      <w:b/>
      <w:bCs/>
    </w:rPr>
  </w:style>
  <w:style w:type="character" w:customStyle="1" w:styleId="TematkomentarzaZnak">
    <w:name w:val="Temat komentarza Znak"/>
    <w:basedOn w:val="TekstkomentarzaZnak"/>
    <w:link w:val="Tematkomentarza"/>
    <w:uiPriority w:val="99"/>
    <w:semiHidden/>
    <w:rsid w:val="00D10013"/>
    <w:rPr>
      <w:b/>
      <w:bCs/>
      <w:sz w:val="20"/>
      <w:szCs w:val="20"/>
    </w:rPr>
  </w:style>
  <w:style w:type="paragraph" w:styleId="Tekstdymka">
    <w:name w:val="Balloon Text"/>
    <w:basedOn w:val="Normalny"/>
    <w:link w:val="TekstdymkaZnak"/>
    <w:uiPriority w:val="99"/>
    <w:semiHidden/>
    <w:unhideWhenUsed/>
    <w:rsid w:val="00D100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10013"/>
    <w:rPr>
      <w:rFonts w:ascii="Tahoma" w:hAnsi="Tahoma" w:cs="Tahoma"/>
      <w:sz w:val="16"/>
      <w:szCs w:val="16"/>
    </w:rPr>
  </w:style>
  <w:style w:type="character" w:customStyle="1" w:styleId="StylNagwekArial10ptPogrubienieNiebieskoszaryZnak">
    <w:name w:val="Styl Nagłówek + Arial 10 pt Pogrubienie Niebieskoszary Znak"/>
    <w:link w:val="StylNagwekArial10ptPogrubienieNiebieskoszary"/>
    <w:locked/>
    <w:rsid w:val="00256164"/>
    <w:rPr>
      <w:rFonts w:ascii="Arial" w:eastAsia="Times New Roman" w:hAnsi="Arial" w:cs="Arial"/>
      <w:b/>
      <w:bCs/>
      <w:color w:val="006666"/>
    </w:rPr>
  </w:style>
  <w:style w:type="paragraph" w:customStyle="1" w:styleId="StylNagwekArial10ptPogrubienieNiebieskoszary">
    <w:name w:val="Styl Nagłówek + Arial 10 pt Pogrubienie Niebieskoszary"/>
    <w:basedOn w:val="Nagwek"/>
    <w:link w:val="StylNagwekArial10ptPogrubienieNiebieskoszaryZnak"/>
    <w:rsid w:val="00256164"/>
    <w:rPr>
      <w:rFonts w:ascii="Arial" w:eastAsia="Times New Roman" w:hAnsi="Arial" w:cs="Arial"/>
      <w:b/>
      <w:bCs/>
      <w:color w:val="006666"/>
    </w:rPr>
  </w:style>
  <w:style w:type="paragraph" w:styleId="Nagwek">
    <w:name w:val="header"/>
    <w:basedOn w:val="Normalny"/>
    <w:link w:val="NagwekZnak"/>
    <w:uiPriority w:val="99"/>
    <w:unhideWhenUsed/>
    <w:rsid w:val="0025616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6164"/>
  </w:style>
  <w:style w:type="paragraph" w:styleId="Tekstprzypisudolnego">
    <w:name w:val="footnote text"/>
    <w:basedOn w:val="Normalny"/>
    <w:link w:val="TekstprzypisudolnegoZnak"/>
    <w:semiHidden/>
    <w:rsid w:val="000F69F9"/>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0F69F9"/>
    <w:rPr>
      <w:rFonts w:ascii="Times New Roman" w:eastAsia="Times New Roman" w:hAnsi="Times New Roman" w:cs="Times New Roman"/>
      <w:sz w:val="20"/>
      <w:szCs w:val="20"/>
      <w:lang w:eastAsia="pl-PL"/>
    </w:rPr>
  </w:style>
  <w:style w:type="character" w:styleId="Odwoanieprzypisudolnego">
    <w:name w:val="footnote reference"/>
    <w:semiHidden/>
    <w:rsid w:val="000F69F9"/>
    <w:rPr>
      <w:vertAlign w:val="superscript"/>
    </w:rPr>
  </w:style>
  <w:style w:type="character" w:customStyle="1" w:styleId="AkapitzlistZnak">
    <w:name w:val="Akapit z listą Znak"/>
    <w:aliases w:val="Numerowanie Znak,List Paragraph Znak,Akapit z listą BS Znak,A_wyliczenie Znak,K-P_odwolanie Znak,Akapit z listą5 Znak,maz_wyliczenie Znak,opis dzialania Znak"/>
    <w:link w:val="Akapitzlist"/>
    <w:uiPriority w:val="34"/>
    <w:locked/>
    <w:rsid w:val="00935CAC"/>
  </w:style>
  <w:style w:type="paragraph" w:styleId="Stopka">
    <w:name w:val="footer"/>
    <w:basedOn w:val="Normalny"/>
    <w:link w:val="StopkaZnak"/>
    <w:uiPriority w:val="99"/>
    <w:unhideWhenUsed/>
    <w:rsid w:val="009837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83741"/>
  </w:style>
  <w:style w:type="paragraph" w:styleId="Spistreci1">
    <w:name w:val="toc 1"/>
    <w:basedOn w:val="Normalny"/>
    <w:next w:val="Normalny"/>
    <w:autoRedefine/>
    <w:uiPriority w:val="39"/>
    <w:unhideWhenUsed/>
    <w:rsid w:val="00B16A3C"/>
    <w:pPr>
      <w:tabs>
        <w:tab w:val="left" w:pos="0"/>
        <w:tab w:val="left" w:pos="567"/>
        <w:tab w:val="right" w:leader="dot" w:pos="9062"/>
      </w:tabs>
      <w:spacing w:after="120"/>
    </w:pPr>
    <w:rPr>
      <w:rFonts w:ascii="Calibri" w:eastAsia="Calibri" w:hAnsi="Calibri" w:cs="Times New Roman"/>
      <w:b/>
    </w:rPr>
  </w:style>
  <w:style w:type="paragraph" w:styleId="Spistreci2">
    <w:name w:val="toc 2"/>
    <w:basedOn w:val="Normalny"/>
    <w:next w:val="Normalny"/>
    <w:autoRedefine/>
    <w:uiPriority w:val="39"/>
    <w:unhideWhenUsed/>
    <w:rsid w:val="00B16A3C"/>
    <w:pPr>
      <w:tabs>
        <w:tab w:val="left" w:pos="660"/>
        <w:tab w:val="right" w:leader="dot" w:pos="9062"/>
      </w:tabs>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169603">
      <w:bodyDiv w:val="1"/>
      <w:marLeft w:val="0"/>
      <w:marRight w:val="0"/>
      <w:marTop w:val="0"/>
      <w:marBottom w:val="0"/>
      <w:divBdr>
        <w:top w:val="none" w:sz="0" w:space="0" w:color="auto"/>
        <w:left w:val="none" w:sz="0" w:space="0" w:color="auto"/>
        <w:bottom w:val="none" w:sz="0" w:space="0" w:color="auto"/>
        <w:right w:val="none" w:sz="0" w:space="0" w:color="auto"/>
      </w:divBdr>
    </w:div>
    <w:div w:id="683945292">
      <w:bodyDiv w:val="1"/>
      <w:marLeft w:val="0"/>
      <w:marRight w:val="0"/>
      <w:marTop w:val="0"/>
      <w:marBottom w:val="0"/>
      <w:divBdr>
        <w:top w:val="none" w:sz="0" w:space="0" w:color="auto"/>
        <w:left w:val="none" w:sz="0" w:space="0" w:color="auto"/>
        <w:bottom w:val="none" w:sz="0" w:space="0" w:color="auto"/>
        <w:right w:val="none" w:sz="0" w:space="0" w:color="auto"/>
      </w:divBdr>
    </w:div>
    <w:div w:id="914709910">
      <w:bodyDiv w:val="1"/>
      <w:marLeft w:val="0"/>
      <w:marRight w:val="0"/>
      <w:marTop w:val="0"/>
      <w:marBottom w:val="0"/>
      <w:divBdr>
        <w:top w:val="none" w:sz="0" w:space="0" w:color="auto"/>
        <w:left w:val="none" w:sz="0" w:space="0" w:color="auto"/>
        <w:bottom w:val="none" w:sz="0" w:space="0" w:color="auto"/>
        <w:right w:val="none" w:sz="0" w:space="0" w:color="auto"/>
      </w:divBdr>
    </w:div>
    <w:div w:id="976568671">
      <w:bodyDiv w:val="1"/>
      <w:marLeft w:val="0"/>
      <w:marRight w:val="0"/>
      <w:marTop w:val="0"/>
      <w:marBottom w:val="0"/>
      <w:divBdr>
        <w:top w:val="none" w:sz="0" w:space="0" w:color="auto"/>
        <w:left w:val="none" w:sz="0" w:space="0" w:color="auto"/>
        <w:bottom w:val="none" w:sz="0" w:space="0" w:color="auto"/>
        <w:right w:val="none" w:sz="0" w:space="0" w:color="auto"/>
      </w:divBdr>
    </w:div>
    <w:div w:id="10363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funduszedlamazowsz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hyperlink" Target="http://www.funduszedlamazowsza.eu"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043104511264948E-2"/>
          <c:y val="6.3616039820635489E-2"/>
          <c:w val="0.8543873657318185"/>
          <c:h val="0.74704055726004281"/>
        </c:manualLayout>
      </c:layout>
      <c:barChart>
        <c:barDir val="col"/>
        <c:grouping val="clustered"/>
        <c:varyColors val="0"/>
        <c:ser>
          <c:idx val="0"/>
          <c:order val="0"/>
          <c:tx>
            <c:strRef>
              <c:f>'wnioski o dof'!$B$16</c:f>
              <c:strCache>
                <c:ptCount val="1"/>
                <c:pt idx="0">
                  <c:v>środki UE w mln euro</c:v>
                </c:pt>
              </c:strCache>
            </c:strRef>
          </c:tx>
          <c:spPr>
            <a:solidFill>
              <a:srgbClr val="904BEB"/>
            </a:solidFill>
            <a:effectLst>
              <a:innerShdw blurRad="114300">
                <a:prstClr val="black"/>
              </a:innerShdw>
            </a:effectLst>
            <a:scene3d>
              <a:camera prst="orthographicFront"/>
              <a:lightRig rig="threePt" dir="t"/>
            </a:scene3d>
            <a:sp3d>
              <a:bevelT/>
            </a:sp3d>
          </c:spPr>
          <c:invertIfNegative val="0"/>
          <c:dLbls>
            <c:dLbl>
              <c:idx val="2"/>
              <c:layout>
                <c:manualLayout>
                  <c:x val="-5.0000243476059003E-3"/>
                  <c:y val="-2.596505905511811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7.6994531527714877E-2"/>
                      <c:h val="4.247933070866141E-2"/>
                    </c:manualLayout>
                  </c15:layout>
                </c:ext>
              </c:extLst>
            </c:dLbl>
            <c:numFmt formatCode="#,##0.0" sourceLinked="0"/>
            <c:spPr>
              <a:noFill/>
              <a:ln>
                <a:noFill/>
              </a:ln>
              <a:effectLst/>
            </c:spPr>
            <c:txPr>
              <a:bodyPr/>
              <a:lstStyle/>
              <a:p>
                <a:pPr>
                  <a:defRPr sz="800" b="1">
                    <a:latin typeface="Arial" pitchFamily="34" charset="0"/>
                    <a:cs typeface="Arial"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'wnioski o dof'!$A$17:$A$27</c:f>
              <c:strCache>
                <c:ptCount val="11"/>
                <c:pt idx="0">
                  <c:v>OP I</c:v>
                </c:pt>
                <c:pt idx="1">
                  <c:v>OP II</c:v>
                </c:pt>
                <c:pt idx="2">
                  <c:v>OP III</c:v>
                </c:pt>
                <c:pt idx="3">
                  <c:v>OP IV</c:v>
                </c:pt>
                <c:pt idx="4">
                  <c:v>OP V</c:v>
                </c:pt>
                <c:pt idx="5">
                  <c:v>OP VI</c:v>
                </c:pt>
                <c:pt idx="6">
                  <c:v>OP VII</c:v>
                </c:pt>
                <c:pt idx="7">
                  <c:v>OP VIII</c:v>
                </c:pt>
                <c:pt idx="8">
                  <c:v>OP IX</c:v>
                </c:pt>
                <c:pt idx="9">
                  <c:v>OP X</c:v>
                </c:pt>
                <c:pt idx="10">
                  <c:v>OP XI</c:v>
                </c:pt>
              </c:strCache>
            </c:strRef>
          </c:cat>
          <c:val>
            <c:numRef>
              <c:f>'wnioski o dof'!$B$17:$B$27</c:f>
              <c:numCache>
                <c:formatCode>#,##0.00</c:formatCode>
                <c:ptCount val="11"/>
                <c:pt idx="0">
                  <c:v>74.065806205115422</c:v>
                </c:pt>
                <c:pt idx="1">
                  <c:v>100.74391823021679</c:v>
                </c:pt>
                <c:pt idx="2">
                  <c:v>6.3756840896218927</c:v>
                </c:pt>
                <c:pt idx="3">
                  <c:v>259.6405625518226</c:v>
                </c:pt>
                <c:pt idx="4">
                  <c:v>68.942866790512213</c:v>
                </c:pt>
                <c:pt idx="5">
                  <c:v>0</c:v>
                </c:pt>
                <c:pt idx="6">
                  <c:v>143.43239079993657</c:v>
                </c:pt>
                <c:pt idx="7">
                  <c:v>61.093638071180983</c:v>
                </c:pt>
                <c:pt idx="8">
                  <c:v>28.775317024988105</c:v>
                </c:pt>
                <c:pt idx="9">
                  <c:v>176.10354674565596</c:v>
                </c:pt>
                <c:pt idx="10">
                  <c:v>27.123149452889603</c:v>
                </c:pt>
              </c:numCache>
            </c:numRef>
          </c:val>
        </c:ser>
        <c:dLbls>
          <c:showLegendKey val="0"/>
          <c:showVal val="0"/>
          <c:showCatName val="0"/>
          <c:showSerName val="0"/>
          <c:showPercent val="0"/>
          <c:showBubbleSize val="0"/>
        </c:dLbls>
        <c:gapWidth val="150"/>
        <c:axId val="157598624"/>
        <c:axId val="157599016"/>
      </c:barChart>
      <c:catAx>
        <c:axId val="157598624"/>
        <c:scaling>
          <c:orientation val="minMax"/>
        </c:scaling>
        <c:delete val="0"/>
        <c:axPos val="b"/>
        <c:numFmt formatCode="General" sourceLinked="1"/>
        <c:majorTickMark val="out"/>
        <c:minorTickMark val="none"/>
        <c:tickLblPos val="nextTo"/>
        <c:txPr>
          <a:bodyPr/>
          <a:lstStyle/>
          <a:p>
            <a:pPr>
              <a:defRPr sz="700" b="0">
                <a:latin typeface="Arial" pitchFamily="34" charset="0"/>
                <a:cs typeface="Arial" pitchFamily="34" charset="0"/>
              </a:defRPr>
            </a:pPr>
            <a:endParaRPr lang="pl-PL"/>
          </a:p>
        </c:txPr>
        <c:crossAx val="157599016"/>
        <c:crosses val="autoZero"/>
        <c:auto val="1"/>
        <c:lblAlgn val="ctr"/>
        <c:lblOffset val="100"/>
        <c:noMultiLvlLbl val="0"/>
      </c:catAx>
      <c:valAx>
        <c:axId val="157599016"/>
        <c:scaling>
          <c:orientation val="minMax"/>
          <c:max val="300"/>
          <c:min val="0"/>
        </c:scaling>
        <c:delete val="0"/>
        <c:axPos val="l"/>
        <c:majorGridlines/>
        <c:numFmt formatCode="#,##0" sourceLinked="0"/>
        <c:majorTickMark val="out"/>
        <c:minorTickMark val="none"/>
        <c:tickLblPos val="nextTo"/>
        <c:txPr>
          <a:bodyPr/>
          <a:lstStyle/>
          <a:p>
            <a:pPr>
              <a:defRPr sz="700" b="0">
                <a:latin typeface="Arial" pitchFamily="34" charset="0"/>
                <a:cs typeface="Arial" pitchFamily="34" charset="0"/>
              </a:defRPr>
            </a:pPr>
            <a:endParaRPr lang="pl-PL"/>
          </a:p>
        </c:txPr>
        <c:crossAx val="157598624"/>
        <c:crosses val="autoZero"/>
        <c:crossBetween val="between"/>
        <c:majorUnit val="50"/>
      </c:valAx>
      <c:spPr>
        <a:solidFill>
          <a:schemeClr val="bg1">
            <a:lumMod val="95000"/>
            <a:alpha val="18000"/>
          </a:schemeClr>
        </a:solidFill>
        <a:effectLst>
          <a:outerShdw dist="50800" sx="1000" sy="1000" algn="ctr" rotWithShape="0">
            <a:srgbClr val="000000"/>
          </a:outerShdw>
        </a:effectLst>
        <a:scene3d>
          <a:camera prst="orthographicFront"/>
          <a:lightRig rig="threePt" dir="t"/>
        </a:scene3d>
        <a:sp3d>
          <a:bevelT w="196850" h="425450" prst="coolSlant"/>
          <a:bevelB w="82550" h="82550" prst="hardEdge"/>
        </a:sp3d>
      </c:spPr>
    </c:plotArea>
    <c:legend>
      <c:legendPos val="b"/>
      <c:layout/>
      <c:overlay val="0"/>
      <c:txPr>
        <a:bodyPr/>
        <a:lstStyle/>
        <a:p>
          <a:pPr>
            <a:defRPr sz="800"/>
          </a:pPr>
          <a:endParaRPr lang="pl-PL"/>
        </a:p>
      </c:txPr>
    </c:legend>
    <c:plotVisOnly val="1"/>
    <c:dispBlanksAs val="gap"/>
    <c:showDLblsOverMax val="0"/>
  </c:chart>
  <c:spPr>
    <a:solidFill>
      <a:srgbClr val="EEECE1">
        <a:lumMod val="90000"/>
        <a:alpha val="54000"/>
      </a:srgbClr>
    </a:solidFill>
    <a:ln w="6350" cmpd="sng">
      <a:solidFill>
        <a:schemeClr val="tx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043104511264948E-2"/>
          <c:y val="6.3616039820635517E-2"/>
          <c:w val="0.85438736573181828"/>
          <c:h val="0.74704055726004304"/>
        </c:manualLayout>
      </c:layout>
      <c:barChart>
        <c:barDir val="col"/>
        <c:grouping val="clustered"/>
        <c:varyColors val="0"/>
        <c:ser>
          <c:idx val="0"/>
          <c:order val="0"/>
          <c:tx>
            <c:strRef>
              <c:f>umowy!$B$16</c:f>
              <c:strCache>
                <c:ptCount val="1"/>
                <c:pt idx="0">
                  <c:v>środki UE w mln euro</c:v>
                </c:pt>
              </c:strCache>
            </c:strRef>
          </c:tx>
          <c:spPr>
            <a:solidFill>
              <a:schemeClr val="tx2">
                <a:lumMod val="60000"/>
                <a:lumOff val="40000"/>
              </a:schemeClr>
            </a:solidFill>
            <a:effectLst>
              <a:innerShdw blurRad="114300">
                <a:prstClr val="black"/>
              </a:innerShdw>
            </a:effectLst>
            <a:scene3d>
              <a:camera prst="orthographicFront"/>
              <a:lightRig rig="threePt" dir="t"/>
            </a:scene3d>
            <a:sp3d>
              <a:bevelT/>
            </a:sp3d>
          </c:spPr>
          <c:invertIfNegative val="0"/>
          <c:dLbls>
            <c:dLbl>
              <c:idx val="0"/>
              <c:layout>
                <c:manualLayout>
                  <c:x val="-8.7431693989070934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5573770491803279E-3"/>
                  <c:y val="-3.269754768392370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185792349726776E-3"/>
                  <c:y val="-3.6330608537693005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2.179836512261580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 sourceLinked="0"/>
            <c:spPr>
              <a:noFill/>
              <a:ln>
                <a:noFill/>
              </a:ln>
              <a:effectLst/>
            </c:spPr>
            <c:txPr>
              <a:bodyPr/>
              <a:lstStyle/>
              <a:p>
                <a:pPr>
                  <a:defRPr sz="800" b="1">
                    <a:latin typeface="Arial" pitchFamily="34" charset="0"/>
                    <a:cs typeface="Arial"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umowy!$A$17:$A$27</c:f>
              <c:strCache>
                <c:ptCount val="11"/>
                <c:pt idx="0">
                  <c:v>OP I</c:v>
                </c:pt>
                <c:pt idx="1">
                  <c:v>OP II</c:v>
                </c:pt>
                <c:pt idx="2">
                  <c:v>OP III</c:v>
                </c:pt>
                <c:pt idx="3">
                  <c:v>OP IV</c:v>
                </c:pt>
                <c:pt idx="4">
                  <c:v>OP V</c:v>
                </c:pt>
                <c:pt idx="5">
                  <c:v>OP VI</c:v>
                </c:pt>
                <c:pt idx="6">
                  <c:v>OP VII</c:v>
                </c:pt>
                <c:pt idx="7">
                  <c:v>OP VIII</c:v>
                </c:pt>
                <c:pt idx="8">
                  <c:v>OP IX</c:v>
                </c:pt>
                <c:pt idx="9">
                  <c:v>OP X</c:v>
                </c:pt>
                <c:pt idx="10">
                  <c:v>OP XI</c:v>
                </c:pt>
              </c:strCache>
            </c:strRef>
          </c:cat>
          <c:val>
            <c:numRef>
              <c:f>umowy!$B$17:$B$27</c:f>
              <c:numCache>
                <c:formatCode>#,##0.00</c:formatCode>
                <c:ptCount val="11"/>
                <c:pt idx="0">
                  <c:v>1.3082818400126865</c:v>
                </c:pt>
                <c:pt idx="1">
                  <c:v>74.141657771686184</c:v>
                </c:pt>
                <c:pt idx="2">
                  <c:v>0</c:v>
                </c:pt>
                <c:pt idx="3">
                  <c:v>82.007096502118202</c:v>
                </c:pt>
                <c:pt idx="4">
                  <c:v>4.2892996601798776</c:v>
                </c:pt>
                <c:pt idx="5">
                  <c:v>25.089485965428963</c:v>
                </c:pt>
                <c:pt idx="6">
                  <c:v>77.539496613126119</c:v>
                </c:pt>
                <c:pt idx="7">
                  <c:v>22.819181645182482</c:v>
                </c:pt>
                <c:pt idx="8">
                  <c:v>9.4726304206973087</c:v>
                </c:pt>
                <c:pt idx="9">
                  <c:v>24.967144985387733</c:v>
                </c:pt>
                <c:pt idx="10">
                  <c:v>27.123149452889603</c:v>
                </c:pt>
              </c:numCache>
            </c:numRef>
          </c:val>
        </c:ser>
        <c:dLbls>
          <c:showLegendKey val="0"/>
          <c:showVal val="0"/>
          <c:showCatName val="0"/>
          <c:showSerName val="0"/>
          <c:showPercent val="0"/>
          <c:showBubbleSize val="0"/>
        </c:dLbls>
        <c:gapWidth val="150"/>
        <c:axId val="157599800"/>
        <c:axId val="157600192"/>
      </c:barChart>
      <c:lineChart>
        <c:grouping val="standard"/>
        <c:varyColors val="0"/>
        <c:ser>
          <c:idx val="1"/>
          <c:order val="1"/>
          <c:tx>
            <c:strRef>
              <c:f>umowy!$C$16</c:f>
              <c:strCache>
                <c:ptCount val="1"/>
                <c:pt idx="0">
                  <c:v>% alokacji</c:v>
                </c:pt>
              </c:strCache>
            </c:strRef>
          </c:tx>
          <c:spPr>
            <a:ln>
              <a:solidFill>
                <a:srgbClr val="E11F1F"/>
              </a:solidFill>
            </a:ln>
          </c:spPr>
          <c:marker>
            <c:symbol val="circle"/>
            <c:size val="5"/>
            <c:spPr>
              <a:solidFill>
                <a:srgbClr val="E11F1F"/>
              </a:solidFill>
            </c:spPr>
          </c:marker>
          <c:dLbls>
            <c:dLbl>
              <c:idx val="0"/>
              <c:layout>
                <c:manualLayout>
                  <c:x val="-1.7312508067639086E-3"/>
                  <c:y val="-3.618728857802856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498214362548943E-3"/>
                  <c:y val="-6.645354616776445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570269233587181E-2"/>
                  <c:y val="-3.391512550538574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1863947334452052E-3"/>
                  <c:y val="-2.764187174150921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2786885245901641E-2"/>
                  <c:y val="-9.809264305177112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9672131147540985E-2"/>
                  <c:y val="-9.809264305177112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2480099823587626E-3"/>
                  <c:y val="-6.352392599426440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5199001764123748E-3"/>
                  <c:y val="-3.622104457651240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901639344262293E-2"/>
                  <c:y val="-5.8128973660308808E-2"/>
                </c:manualLayout>
              </c:layout>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a:lstStyle/>
              <a:p>
                <a:pPr>
                  <a:defRPr sz="800" b="1">
                    <a:solidFill>
                      <a:srgbClr val="C00000"/>
                    </a:solidFill>
                    <a:latin typeface="Arial" pitchFamily="34" charset="0"/>
                    <a:cs typeface="Arial"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umowy!$A$17:$A$27</c:f>
              <c:strCache>
                <c:ptCount val="11"/>
                <c:pt idx="0">
                  <c:v>OP I</c:v>
                </c:pt>
                <c:pt idx="1">
                  <c:v>OP II</c:v>
                </c:pt>
                <c:pt idx="2">
                  <c:v>OP III</c:v>
                </c:pt>
                <c:pt idx="3">
                  <c:v>OP IV</c:v>
                </c:pt>
                <c:pt idx="4">
                  <c:v>OP V</c:v>
                </c:pt>
                <c:pt idx="5">
                  <c:v>OP VI</c:v>
                </c:pt>
                <c:pt idx="6">
                  <c:v>OP VII</c:v>
                </c:pt>
                <c:pt idx="7">
                  <c:v>OP VIII</c:v>
                </c:pt>
                <c:pt idx="8">
                  <c:v>OP IX</c:v>
                </c:pt>
                <c:pt idx="9">
                  <c:v>OP X</c:v>
                </c:pt>
                <c:pt idx="10">
                  <c:v>OP XI</c:v>
                </c:pt>
              </c:strCache>
            </c:strRef>
          </c:cat>
          <c:val>
            <c:numRef>
              <c:f>umowy!$C$17:$C$27</c:f>
              <c:numCache>
                <c:formatCode>0.00%</c:formatCode>
                <c:ptCount val="11"/>
                <c:pt idx="0">
                  <c:v>5.0025281815772498E-3</c:v>
                </c:pt>
                <c:pt idx="1">
                  <c:v>0.51361939001477652</c:v>
                </c:pt>
                <c:pt idx="2">
                  <c:v>0</c:v>
                </c:pt>
                <c:pt idx="3">
                  <c:v>0.26896602474487863</c:v>
                </c:pt>
                <c:pt idx="4">
                  <c:v>4.9901101277009891E-2</c:v>
                </c:pt>
                <c:pt idx="5">
                  <c:v>0.22928009751712594</c:v>
                </c:pt>
                <c:pt idx="6">
                  <c:v>0.2245590795563949</c:v>
                </c:pt>
                <c:pt idx="7">
                  <c:v>0.1779979904914917</c:v>
                </c:pt>
                <c:pt idx="8">
                  <c:v>5.9044733785869122E-2</c:v>
                </c:pt>
                <c:pt idx="9">
                  <c:v>0.16570513280684579</c:v>
                </c:pt>
                <c:pt idx="10" formatCode="#,##0.00">
                  <c:v>0.37172814078461541</c:v>
                </c:pt>
              </c:numCache>
            </c:numRef>
          </c:val>
          <c:smooth val="0"/>
        </c:ser>
        <c:dLbls>
          <c:showLegendKey val="0"/>
          <c:showVal val="0"/>
          <c:showCatName val="0"/>
          <c:showSerName val="0"/>
          <c:showPercent val="0"/>
          <c:showBubbleSize val="0"/>
        </c:dLbls>
        <c:marker val="1"/>
        <c:smooth val="0"/>
        <c:axId val="157600584"/>
        <c:axId val="157600976"/>
      </c:lineChart>
      <c:catAx>
        <c:axId val="157599800"/>
        <c:scaling>
          <c:orientation val="minMax"/>
        </c:scaling>
        <c:delete val="0"/>
        <c:axPos val="b"/>
        <c:numFmt formatCode="General" sourceLinked="1"/>
        <c:majorTickMark val="out"/>
        <c:minorTickMark val="none"/>
        <c:tickLblPos val="nextTo"/>
        <c:txPr>
          <a:bodyPr/>
          <a:lstStyle/>
          <a:p>
            <a:pPr>
              <a:defRPr sz="700" b="0">
                <a:latin typeface="Arial" pitchFamily="34" charset="0"/>
                <a:cs typeface="Arial" pitchFamily="34" charset="0"/>
              </a:defRPr>
            </a:pPr>
            <a:endParaRPr lang="pl-PL"/>
          </a:p>
        </c:txPr>
        <c:crossAx val="157600192"/>
        <c:crosses val="autoZero"/>
        <c:auto val="1"/>
        <c:lblAlgn val="ctr"/>
        <c:lblOffset val="100"/>
        <c:noMultiLvlLbl val="0"/>
      </c:catAx>
      <c:valAx>
        <c:axId val="157600192"/>
        <c:scaling>
          <c:orientation val="minMax"/>
          <c:max val="100"/>
          <c:min val="0"/>
        </c:scaling>
        <c:delete val="0"/>
        <c:axPos val="l"/>
        <c:majorGridlines/>
        <c:numFmt formatCode="#,##0" sourceLinked="0"/>
        <c:majorTickMark val="out"/>
        <c:minorTickMark val="none"/>
        <c:tickLblPos val="nextTo"/>
        <c:txPr>
          <a:bodyPr/>
          <a:lstStyle/>
          <a:p>
            <a:pPr>
              <a:defRPr sz="700" b="0">
                <a:latin typeface="Arial" pitchFamily="34" charset="0"/>
                <a:cs typeface="Arial" pitchFamily="34" charset="0"/>
              </a:defRPr>
            </a:pPr>
            <a:endParaRPr lang="pl-PL"/>
          </a:p>
        </c:txPr>
        <c:crossAx val="157599800"/>
        <c:crosses val="autoZero"/>
        <c:crossBetween val="between"/>
        <c:majorUnit val="20"/>
      </c:valAx>
      <c:catAx>
        <c:axId val="157600584"/>
        <c:scaling>
          <c:orientation val="minMax"/>
        </c:scaling>
        <c:delete val="1"/>
        <c:axPos val="b"/>
        <c:numFmt formatCode="General" sourceLinked="1"/>
        <c:majorTickMark val="out"/>
        <c:minorTickMark val="none"/>
        <c:tickLblPos val="nextTo"/>
        <c:crossAx val="157600976"/>
        <c:crosses val="autoZero"/>
        <c:auto val="1"/>
        <c:lblAlgn val="ctr"/>
        <c:lblOffset val="100"/>
        <c:noMultiLvlLbl val="0"/>
      </c:catAx>
      <c:valAx>
        <c:axId val="157600976"/>
        <c:scaling>
          <c:orientation val="minMax"/>
          <c:max val="1"/>
          <c:min val="0"/>
        </c:scaling>
        <c:delete val="0"/>
        <c:axPos val="r"/>
        <c:numFmt formatCode="0%" sourceLinked="0"/>
        <c:majorTickMark val="out"/>
        <c:minorTickMark val="none"/>
        <c:tickLblPos val="nextTo"/>
        <c:txPr>
          <a:bodyPr/>
          <a:lstStyle/>
          <a:p>
            <a:pPr>
              <a:defRPr sz="700" b="0">
                <a:latin typeface="Arial" pitchFamily="34" charset="0"/>
                <a:cs typeface="Arial" pitchFamily="34" charset="0"/>
              </a:defRPr>
            </a:pPr>
            <a:endParaRPr lang="pl-PL"/>
          </a:p>
        </c:txPr>
        <c:crossAx val="157600584"/>
        <c:crosses val="max"/>
        <c:crossBetween val="between"/>
        <c:majorUnit val="0.2"/>
      </c:valAx>
      <c:spPr>
        <a:solidFill>
          <a:schemeClr val="bg1">
            <a:lumMod val="95000"/>
            <a:alpha val="18000"/>
          </a:schemeClr>
        </a:solidFill>
        <a:effectLst>
          <a:outerShdw dist="50800" sx="1000" sy="1000" algn="ctr" rotWithShape="0">
            <a:srgbClr val="000000"/>
          </a:outerShdw>
        </a:effectLst>
        <a:scene3d>
          <a:camera prst="orthographicFront"/>
          <a:lightRig rig="threePt" dir="t"/>
        </a:scene3d>
        <a:sp3d>
          <a:bevelT w="196850" h="425450" prst="coolSlant"/>
          <a:bevelB w="82550" h="82550" prst="hardEdge"/>
        </a:sp3d>
      </c:spPr>
    </c:plotArea>
    <c:legend>
      <c:legendPos val="b"/>
      <c:layout/>
      <c:overlay val="0"/>
      <c:txPr>
        <a:bodyPr/>
        <a:lstStyle/>
        <a:p>
          <a:pPr>
            <a:defRPr sz="800"/>
          </a:pPr>
          <a:endParaRPr lang="pl-PL"/>
        </a:p>
      </c:txPr>
    </c:legend>
    <c:plotVisOnly val="1"/>
    <c:dispBlanksAs val="gap"/>
    <c:showDLblsOverMax val="0"/>
  </c:chart>
  <c:spPr>
    <a:solidFill>
      <a:srgbClr val="EEECE1">
        <a:lumMod val="90000"/>
        <a:alpha val="54000"/>
      </a:srgbClr>
    </a:solidFill>
    <a:ln w="6350" cmpd="sng">
      <a:solidFill>
        <a:schemeClr val="tx1"/>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043104511264948E-2"/>
          <c:y val="6.3616039820635489E-2"/>
          <c:w val="0.8543873657318185"/>
          <c:h val="0.74704055726004281"/>
        </c:manualLayout>
      </c:layout>
      <c:barChart>
        <c:barDir val="col"/>
        <c:grouping val="clustered"/>
        <c:varyColors val="0"/>
        <c:ser>
          <c:idx val="0"/>
          <c:order val="0"/>
          <c:tx>
            <c:strRef>
              <c:f>'wnioski o dof'!$B$16</c:f>
              <c:strCache>
                <c:ptCount val="1"/>
                <c:pt idx="0">
                  <c:v>EU funds in EUR million</c:v>
                </c:pt>
              </c:strCache>
            </c:strRef>
          </c:tx>
          <c:spPr>
            <a:solidFill>
              <a:srgbClr val="904BEB"/>
            </a:solidFill>
            <a:effectLst>
              <a:innerShdw blurRad="114300">
                <a:prstClr val="black"/>
              </a:innerShdw>
            </a:effectLst>
            <a:scene3d>
              <a:camera prst="orthographicFront"/>
              <a:lightRig rig="threePt" dir="t"/>
            </a:scene3d>
            <a:sp3d>
              <a:bevelT/>
            </a:sp3d>
          </c:spPr>
          <c:invertIfNegative val="0"/>
          <c:dLbls>
            <c:dLbl>
              <c:idx val="2"/>
              <c:layout>
                <c:manualLayout>
                  <c:x val="-2.5265023690220541E-3"/>
                  <c:y val="-1.7631561679790027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 sourceLinked="0"/>
            <c:spPr>
              <a:noFill/>
              <a:ln>
                <a:noFill/>
              </a:ln>
              <a:effectLst/>
            </c:spPr>
            <c:txPr>
              <a:bodyPr/>
              <a:lstStyle/>
              <a:p>
                <a:pPr rtl="0">
                  <a:defRPr sz="800" b="1">
                    <a:latin typeface="Arial" pitchFamily="34" charset="0"/>
                    <a:cs typeface="Arial"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'wnioski o dof'!$A$17:$A$27</c:f>
              <c:strCache>
                <c:ptCount val="11"/>
                <c:pt idx="0">
                  <c:v>PA 1</c:v>
                </c:pt>
                <c:pt idx="1">
                  <c:v>PA 2</c:v>
                </c:pt>
                <c:pt idx="2">
                  <c:v>PA 3</c:v>
                </c:pt>
                <c:pt idx="3">
                  <c:v>PA 4</c:v>
                </c:pt>
                <c:pt idx="4">
                  <c:v>PA 5</c:v>
                </c:pt>
                <c:pt idx="5">
                  <c:v>PA 6</c:v>
                </c:pt>
                <c:pt idx="6">
                  <c:v>PA 7</c:v>
                </c:pt>
                <c:pt idx="7">
                  <c:v>PA 8</c:v>
                </c:pt>
                <c:pt idx="8">
                  <c:v>PA 9</c:v>
                </c:pt>
                <c:pt idx="9">
                  <c:v>PA 10</c:v>
                </c:pt>
                <c:pt idx="10">
                  <c:v>PA 11</c:v>
                </c:pt>
              </c:strCache>
            </c:strRef>
          </c:cat>
          <c:val>
            <c:numRef>
              <c:f>'wnioski o dof'!$B$17:$B$27</c:f>
              <c:numCache>
                <c:formatCode>#,##0.00</c:formatCode>
                <c:ptCount val="11"/>
                <c:pt idx="0">
                  <c:v>74.065806205115422</c:v>
                </c:pt>
                <c:pt idx="1">
                  <c:v>100.74391823021679</c:v>
                </c:pt>
                <c:pt idx="2">
                  <c:v>6.3756840896218927</c:v>
                </c:pt>
                <c:pt idx="3">
                  <c:v>259.6405625518226</c:v>
                </c:pt>
                <c:pt idx="4">
                  <c:v>68.942866790512213</c:v>
                </c:pt>
                <c:pt idx="5">
                  <c:v>0</c:v>
                </c:pt>
                <c:pt idx="6">
                  <c:v>143.43239079993657</c:v>
                </c:pt>
                <c:pt idx="7">
                  <c:v>61.093638071180983</c:v>
                </c:pt>
                <c:pt idx="8">
                  <c:v>28.775317024988105</c:v>
                </c:pt>
                <c:pt idx="9">
                  <c:v>176.10354674565596</c:v>
                </c:pt>
                <c:pt idx="10">
                  <c:v>27.123149452889603</c:v>
                </c:pt>
              </c:numCache>
            </c:numRef>
          </c:val>
        </c:ser>
        <c:dLbls>
          <c:showLegendKey val="0"/>
          <c:showVal val="0"/>
          <c:showCatName val="0"/>
          <c:showSerName val="0"/>
          <c:showPercent val="0"/>
          <c:showBubbleSize val="0"/>
        </c:dLbls>
        <c:gapWidth val="150"/>
        <c:axId val="157601760"/>
        <c:axId val="157602152"/>
      </c:barChart>
      <c:catAx>
        <c:axId val="157601760"/>
        <c:scaling>
          <c:orientation val="minMax"/>
        </c:scaling>
        <c:delete val="0"/>
        <c:axPos val="b"/>
        <c:numFmt formatCode="General" sourceLinked="1"/>
        <c:majorTickMark val="out"/>
        <c:minorTickMark val="none"/>
        <c:tickLblPos val="nextTo"/>
        <c:txPr>
          <a:bodyPr/>
          <a:lstStyle/>
          <a:p>
            <a:pPr rtl="0">
              <a:defRPr sz="700" b="0">
                <a:latin typeface="Arial" pitchFamily="34" charset="0"/>
                <a:cs typeface="Arial" pitchFamily="34" charset="0"/>
              </a:defRPr>
            </a:pPr>
            <a:endParaRPr lang="pl-PL"/>
          </a:p>
        </c:txPr>
        <c:crossAx val="157602152"/>
        <c:crosses val="autoZero"/>
        <c:auto val="1"/>
        <c:lblAlgn val="ctr"/>
        <c:lblOffset val="100"/>
        <c:noMultiLvlLbl val="0"/>
      </c:catAx>
      <c:valAx>
        <c:axId val="157602152"/>
        <c:scaling>
          <c:orientation val="minMax"/>
          <c:max val="300"/>
          <c:min val="0"/>
        </c:scaling>
        <c:delete val="0"/>
        <c:axPos val="l"/>
        <c:majorGridlines/>
        <c:numFmt formatCode="#,##0" sourceLinked="0"/>
        <c:majorTickMark val="out"/>
        <c:minorTickMark val="none"/>
        <c:tickLblPos val="nextTo"/>
        <c:txPr>
          <a:bodyPr/>
          <a:lstStyle/>
          <a:p>
            <a:pPr rtl="0">
              <a:defRPr sz="700" b="0">
                <a:latin typeface="Arial" pitchFamily="34" charset="0"/>
                <a:cs typeface="Arial" pitchFamily="34" charset="0"/>
              </a:defRPr>
            </a:pPr>
            <a:endParaRPr lang="pl-PL"/>
          </a:p>
        </c:txPr>
        <c:crossAx val="157601760"/>
        <c:crosses val="autoZero"/>
        <c:crossBetween val="between"/>
        <c:majorUnit val="50"/>
      </c:valAx>
      <c:spPr>
        <a:solidFill>
          <a:schemeClr val="bg1">
            <a:lumMod val="95000"/>
            <a:alpha val="18000"/>
          </a:schemeClr>
        </a:solidFill>
        <a:effectLst>
          <a:outerShdw dist="50800" sx="1000" sy="1000" algn="ctr" rotWithShape="0">
            <a:srgbClr val="000000"/>
          </a:outerShdw>
        </a:effectLst>
        <a:scene3d>
          <a:camera prst="orthographicFront"/>
          <a:lightRig rig="threePt" dir="t"/>
        </a:scene3d>
        <a:sp3d>
          <a:bevelT w="196850" h="425450" prst="coolSlant"/>
          <a:bevelB w="82550" h="82550" prst="hardEdge"/>
        </a:sp3d>
      </c:spPr>
    </c:plotArea>
    <c:legend>
      <c:legendPos val="b"/>
      <c:layout/>
      <c:overlay val="0"/>
      <c:txPr>
        <a:bodyPr/>
        <a:lstStyle/>
        <a:p>
          <a:pPr rtl="0">
            <a:defRPr sz="800"/>
          </a:pPr>
          <a:endParaRPr lang="pl-PL"/>
        </a:p>
      </c:txPr>
    </c:legend>
    <c:plotVisOnly val="1"/>
    <c:dispBlanksAs val="gap"/>
    <c:showDLblsOverMax val="0"/>
  </c:chart>
  <c:spPr>
    <a:solidFill>
      <a:srgbClr val="EEECE1">
        <a:lumMod val="90000"/>
        <a:alpha val="54000"/>
      </a:srgbClr>
    </a:solidFill>
    <a:ln w="6350" cmpd="sng">
      <a:solidFill>
        <a:schemeClr val="tx1"/>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043104511264948E-2"/>
          <c:y val="6.3616039820635517E-2"/>
          <c:w val="0.85438736573181828"/>
          <c:h val="0.74704055726004304"/>
        </c:manualLayout>
      </c:layout>
      <c:barChart>
        <c:barDir val="col"/>
        <c:grouping val="clustered"/>
        <c:varyColors val="0"/>
        <c:ser>
          <c:idx val="0"/>
          <c:order val="0"/>
          <c:tx>
            <c:strRef>
              <c:f>umowy!$B$16</c:f>
              <c:strCache>
                <c:ptCount val="1"/>
                <c:pt idx="0">
                  <c:v>EU funds in EUR million</c:v>
                </c:pt>
              </c:strCache>
            </c:strRef>
          </c:tx>
          <c:spPr>
            <a:solidFill>
              <a:schemeClr val="tx2">
                <a:lumMod val="60000"/>
                <a:lumOff val="40000"/>
              </a:schemeClr>
            </a:solidFill>
            <a:effectLst>
              <a:innerShdw blurRad="114300">
                <a:prstClr val="black"/>
              </a:innerShdw>
            </a:effectLst>
            <a:scene3d>
              <a:camera prst="orthographicFront"/>
              <a:lightRig rig="threePt" dir="t"/>
            </a:scene3d>
            <a:sp3d>
              <a:bevelT/>
            </a:sp3d>
          </c:spPr>
          <c:invertIfNegative val="0"/>
          <c:dLbls>
            <c:dLbl>
              <c:idx val="0"/>
              <c:layout>
                <c:manualLayout>
                  <c:x val="-8.7431693989070934E-3"/>
                  <c:y val="0"/>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5573770491803279E-3"/>
                  <c:y val="-3.269754768392370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185792349726776E-3"/>
                  <c:y val="-3.6330608537693005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
                  <c:y val="-2.1798365122615803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0.0" sourceLinked="0"/>
            <c:spPr>
              <a:noFill/>
              <a:ln>
                <a:noFill/>
              </a:ln>
              <a:effectLst/>
            </c:spPr>
            <c:txPr>
              <a:bodyPr/>
              <a:lstStyle/>
              <a:p>
                <a:pPr rtl="0">
                  <a:defRPr sz="800" b="1">
                    <a:latin typeface="Arial" pitchFamily="34" charset="0"/>
                    <a:cs typeface="Arial"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umowy!$A$17:$A$27</c:f>
              <c:strCache>
                <c:ptCount val="11"/>
                <c:pt idx="0">
                  <c:v>PA 1</c:v>
                </c:pt>
                <c:pt idx="1">
                  <c:v>PA 2</c:v>
                </c:pt>
                <c:pt idx="2">
                  <c:v>PA 3</c:v>
                </c:pt>
                <c:pt idx="3">
                  <c:v>PA 4</c:v>
                </c:pt>
                <c:pt idx="4">
                  <c:v>PA 5</c:v>
                </c:pt>
                <c:pt idx="5">
                  <c:v>PA 6</c:v>
                </c:pt>
                <c:pt idx="6">
                  <c:v>PA 7</c:v>
                </c:pt>
                <c:pt idx="7">
                  <c:v>PA 8</c:v>
                </c:pt>
                <c:pt idx="8">
                  <c:v>PA 9</c:v>
                </c:pt>
                <c:pt idx="9">
                  <c:v>PA 10</c:v>
                </c:pt>
                <c:pt idx="10">
                  <c:v>PA 11</c:v>
                </c:pt>
              </c:strCache>
            </c:strRef>
          </c:cat>
          <c:val>
            <c:numRef>
              <c:f>umowy!$B$17:$B$27</c:f>
              <c:numCache>
                <c:formatCode>#,##0.00</c:formatCode>
                <c:ptCount val="11"/>
                <c:pt idx="0">
                  <c:v>1.3082818400126865</c:v>
                </c:pt>
                <c:pt idx="1">
                  <c:v>74.141657771686184</c:v>
                </c:pt>
                <c:pt idx="2">
                  <c:v>0</c:v>
                </c:pt>
                <c:pt idx="3">
                  <c:v>82.007096502118202</c:v>
                </c:pt>
                <c:pt idx="4">
                  <c:v>4.2892996601798776</c:v>
                </c:pt>
                <c:pt idx="5">
                  <c:v>25.089485965428963</c:v>
                </c:pt>
                <c:pt idx="6">
                  <c:v>77.539496613126119</c:v>
                </c:pt>
                <c:pt idx="7">
                  <c:v>22.819181645182482</c:v>
                </c:pt>
                <c:pt idx="8">
                  <c:v>9.4726304206973087</c:v>
                </c:pt>
                <c:pt idx="9">
                  <c:v>24.967144985387733</c:v>
                </c:pt>
                <c:pt idx="10">
                  <c:v>27.123149452889603</c:v>
                </c:pt>
              </c:numCache>
            </c:numRef>
          </c:val>
        </c:ser>
        <c:dLbls>
          <c:showLegendKey val="0"/>
          <c:showVal val="0"/>
          <c:showCatName val="0"/>
          <c:showSerName val="0"/>
          <c:showPercent val="0"/>
          <c:showBubbleSize val="0"/>
        </c:dLbls>
        <c:gapWidth val="150"/>
        <c:axId val="407982368"/>
        <c:axId val="407982760"/>
      </c:barChart>
      <c:lineChart>
        <c:grouping val="standard"/>
        <c:varyColors val="0"/>
        <c:ser>
          <c:idx val="1"/>
          <c:order val="1"/>
          <c:tx>
            <c:strRef>
              <c:f>umowy!$C$16</c:f>
              <c:strCache>
                <c:ptCount val="1"/>
                <c:pt idx="0">
                  <c:v>% of allocation</c:v>
                </c:pt>
              </c:strCache>
            </c:strRef>
          </c:tx>
          <c:spPr>
            <a:ln>
              <a:solidFill>
                <a:srgbClr val="E11F1F"/>
              </a:solidFill>
            </a:ln>
          </c:spPr>
          <c:marker>
            <c:symbol val="circle"/>
            <c:size val="5"/>
            <c:spPr>
              <a:solidFill>
                <a:srgbClr val="E11F1F"/>
              </a:solidFill>
            </c:spPr>
          </c:marker>
          <c:dLbls>
            <c:dLbl>
              <c:idx val="0"/>
              <c:layout>
                <c:manualLayout>
                  <c:x val="-1.7312508067639086E-3"/>
                  <c:y val="-3.618728857802856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498214362548943E-3"/>
                  <c:y val="-6.645354616776445E-3"/>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570269233587181E-2"/>
                  <c:y val="-3.391512550538574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1863947334452052E-3"/>
                  <c:y val="-2.764187174150921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2786885245901641E-2"/>
                  <c:y val="-9.809264305177112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9672131147540985E-2"/>
                  <c:y val="-9.809264305177112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2480099823587626E-3"/>
                  <c:y val="-6.3523925994264402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5199001764123748E-3"/>
                  <c:y val="-3.622104457651240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5901639344262293E-2"/>
                  <c:y val="-5.8128973660308808E-2"/>
                </c:manualLayout>
              </c:layout>
              <c:showLegendKey val="0"/>
              <c:showVal val="1"/>
              <c:showCatName val="0"/>
              <c:showSerName val="0"/>
              <c:showPercent val="0"/>
              <c:showBubbleSize val="0"/>
              <c:extLst>
                <c:ext xmlns:c15="http://schemas.microsoft.com/office/drawing/2012/chart" uri="{CE6537A1-D6FC-4f65-9D91-7224C49458BB}">
                  <c15:layout/>
                </c:ext>
              </c:extLst>
            </c:dLbl>
            <c:numFmt formatCode="0.00%" sourceLinked="0"/>
            <c:spPr>
              <a:noFill/>
              <a:ln>
                <a:noFill/>
              </a:ln>
              <a:effectLst/>
            </c:spPr>
            <c:txPr>
              <a:bodyPr/>
              <a:lstStyle/>
              <a:p>
                <a:pPr rtl="0">
                  <a:defRPr sz="800" b="1">
                    <a:solidFill>
                      <a:srgbClr val="C00000"/>
                    </a:solidFill>
                    <a:latin typeface="Arial" pitchFamily="34" charset="0"/>
                    <a:cs typeface="Arial"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umowy!$A$17:$A$27</c:f>
              <c:strCache>
                <c:ptCount val="11"/>
                <c:pt idx="0">
                  <c:v>PA 1</c:v>
                </c:pt>
                <c:pt idx="1">
                  <c:v>PA 2</c:v>
                </c:pt>
                <c:pt idx="2">
                  <c:v>PA 3</c:v>
                </c:pt>
                <c:pt idx="3">
                  <c:v>PA 4</c:v>
                </c:pt>
                <c:pt idx="4">
                  <c:v>PA 5</c:v>
                </c:pt>
                <c:pt idx="5">
                  <c:v>PA 6</c:v>
                </c:pt>
                <c:pt idx="6">
                  <c:v>PA 7</c:v>
                </c:pt>
                <c:pt idx="7">
                  <c:v>PA 8</c:v>
                </c:pt>
                <c:pt idx="8">
                  <c:v>PA 9</c:v>
                </c:pt>
                <c:pt idx="9">
                  <c:v>PA 10</c:v>
                </c:pt>
                <c:pt idx="10">
                  <c:v>PA 11</c:v>
                </c:pt>
              </c:strCache>
            </c:strRef>
          </c:cat>
          <c:val>
            <c:numRef>
              <c:f>umowy!$C$17:$C$27</c:f>
              <c:numCache>
                <c:formatCode>0.00%</c:formatCode>
                <c:ptCount val="11"/>
                <c:pt idx="0">
                  <c:v>5.0025281815772498E-3</c:v>
                </c:pt>
                <c:pt idx="1">
                  <c:v>0.51361939001477652</c:v>
                </c:pt>
                <c:pt idx="2">
                  <c:v>0</c:v>
                </c:pt>
                <c:pt idx="3">
                  <c:v>0.26896602474487863</c:v>
                </c:pt>
                <c:pt idx="4">
                  <c:v>4.9901101277009891E-2</c:v>
                </c:pt>
                <c:pt idx="5">
                  <c:v>0.22928009751712594</c:v>
                </c:pt>
                <c:pt idx="6">
                  <c:v>0.2245590795563949</c:v>
                </c:pt>
                <c:pt idx="7">
                  <c:v>0.1779979904914917</c:v>
                </c:pt>
                <c:pt idx="8">
                  <c:v>5.9044733785869122E-2</c:v>
                </c:pt>
                <c:pt idx="9">
                  <c:v>0.16570513280684579</c:v>
                </c:pt>
                <c:pt idx="10" formatCode="#,##0.00">
                  <c:v>0.37172814078461541</c:v>
                </c:pt>
              </c:numCache>
            </c:numRef>
          </c:val>
          <c:smooth val="0"/>
        </c:ser>
        <c:dLbls>
          <c:showLegendKey val="0"/>
          <c:showVal val="0"/>
          <c:showCatName val="0"/>
          <c:showSerName val="0"/>
          <c:showPercent val="0"/>
          <c:showBubbleSize val="0"/>
        </c:dLbls>
        <c:marker val="1"/>
        <c:smooth val="0"/>
        <c:axId val="407983152"/>
        <c:axId val="407983544"/>
      </c:lineChart>
      <c:catAx>
        <c:axId val="407982368"/>
        <c:scaling>
          <c:orientation val="minMax"/>
        </c:scaling>
        <c:delete val="0"/>
        <c:axPos val="b"/>
        <c:numFmt formatCode="General" sourceLinked="1"/>
        <c:majorTickMark val="out"/>
        <c:minorTickMark val="none"/>
        <c:tickLblPos val="nextTo"/>
        <c:txPr>
          <a:bodyPr/>
          <a:lstStyle/>
          <a:p>
            <a:pPr rtl="0">
              <a:defRPr sz="700" b="0">
                <a:latin typeface="Arial" pitchFamily="34" charset="0"/>
                <a:cs typeface="Arial" pitchFamily="34" charset="0"/>
              </a:defRPr>
            </a:pPr>
            <a:endParaRPr lang="pl-PL"/>
          </a:p>
        </c:txPr>
        <c:crossAx val="407982760"/>
        <c:crosses val="autoZero"/>
        <c:auto val="1"/>
        <c:lblAlgn val="ctr"/>
        <c:lblOffset val="100"/>
        <c:noMultiLvlLbl val="0"/>
      </c:catAx>
      <c:valAx>
        <c:axId val="407982760"/>
        <c:scaling>
          <c:orientation val="minMax"/>
          <c:max val="100"/>
          <c:min val="0"/>
        </c:scaling>
        <c:delete val="0"/>
        <c:axPos val="l"/>
        <c:majorGridlines/>
        <c:numFmt formatCode="#,##0" sourceLinked="0"/>
        <c:majorTickMark val="out"/>
        <c:minorTickMark val="none"/>
        <c:tickLblPos val="nextTo"/>
        <c:txPr>
          <a:bodyPr/>
          <a:lstStyle/>
          <a:p>
            <a:pPr rtl="0">
              <a:defRPr sz="700" b="0">
                <a:latin typeface="Arial" pitchFamily="34" charset="0"/>
                <a:cs typeface="Arial" pitchFamily="34" charset="0"/>
              </a:defRPr>
            </a:pPr>
            <a:endParaRPr lang="pl-PL"/>
          </a:p>
        </c:txPr>
        <c:crossAx val="407982368"/>
        <c:crosses val="autoZero"/>
        <c:crossBetween val="between"/>
        <c:majorUnit val="20"/>
      </c:valAx>
      <c:catAx>
        <c:axId val="407983152"/>
        <c:scaling>
          <c:orientation val="minMax"/>
        </c:scaling>
        <c:delete val="1"/>
        <c:axPos val="b"/>
        <c:numFmt formatCode="General" sourceLinked="1"/>
        <c:majorTickMark val="out"/>
        <c:minorTickMark val="none"/>
        <c:tickLblPos val="nextTo"/>
        <c:crossAx val="407983544"/>
        <c:crosses val="autoZero"/>
        <c:auto val="1"/>
        <c:lblAlgn val="ctr"/>
        <c:lblOffset val="100"/>
        <c:noMultiLvlLbl val="0"/>
      </c:catAx>
      <c:valAx>
        <c:axId val="407983544"/>
        <c:scaling>
          <c:orientation val="minMax"/>
          <c:max val="1"/>
          <c:min val="0"/>
        </c:scaling>
        <c:delete val="0"/>
        <c:axPos val="r"/>
        <c:numFmt formatCode="0%" sourceLinked="0"/>
        <c:majorTickMark val="out"/>
        <c:minorTickMark val="none"/>
        <c:tickLblPos val="nextTo"/>
        <c:txPr>
          <a:bodyPr/>
          <a:lstStyle/>
          <a:p>
            <a:pPr rtl="0">
              <a:defRPr sz="700" b="0">
                <a:latin typeface="Arial" pitchFamily="34" charset="0"/>
                <a:cs typeface="Arial" pitchFamily="34" charset="0"/>
              </a:defRPr>
            </a:pPr>
            <a:endParaRPr lang="pl-PL"/>
          </a:p>
        </c:txPr>
        <c:crossAx val="407983152"/>
        <c:crosses val="max"/>
        <c:crossBetween val="between"/>
        <c:majorUnit val="0.2"/>
      </c:valAx>
      <c:spPr>
        <a:solidFill>
          <a:schemeClr val="bg1">
            <a:lumMod val="95000"/>
            <a:alpha val="18000"/>
          </a:schemeClr>
        </a:solidFill>
        <a:effectLst>
          <a:outerShdw dist="50800" sx="1000" sy="1000" algn="ctr" rotWithShape="0">
            <a:srgbClr val="000000"/>
          </a:outerShdw>
        </a:effectLst>
        <a:scene3d>
          <a:camera prst="orthographicFront"/>
          <a:lightRig rig="threePt" dir="t"/>
        </a:scene3d>
        <a:sp3d>
          <a:bevelT w="196850" h="425450" prst="coolSlant"/>
          <a:bevelB w="82550" h="82550" prst="hardEdge"/>
        </a:sp3d>
      </c:spPr>
    </c:plotArea>
    <c:legend>
      <c:legendPos val="b"/>
      <c:layout/>
      <c:overlay val="0"/>
      <c:txPr>
        <a:bodyPr/>
        <a:lstStyle/>
        <a:p>
          <a:pPr rtl="0">
            <a:defRPr sz="800"/>
          </a:pPr>
          <a:endParaRPr lang="pl-PL"/>
        </a:p>
      </c:txPr>
    </c:legend>
    <c:plotVisOnly val="1"/>
    <c:dispBlanksAs val="gap"/>
    <c:showDLblsOverMax val="0"/>
  </c:chart>
  <c:spPr>
    <a:solidFill>
      <a:srgbClr val="EEECE1">
        <a:lumMod val="90000"/>
        <a:alpha val="54000"/>
      </a:srgbClr>
    </a:solidFill>
    <a:ln w="6350" cmpd="sng">
      <a:solidFill>
        <a:schemeClr val="tx1"/>
      </a:solidFill>
    </a:ln>
  </c:sp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17</Pages>
  <Words>7497</Words>
  <Characters>44984</Characters>
  <Application>Microsoft Office Word</Application>
  <DocSecurity>4</DocSecurity>
  <Lines>374</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uwojciechowska</dc:creator>
  <cp:keywords/>
  <dc:description/>
  <cp:lastModifiedBy>Olszewska-Hurtuk Joanna</cp:lastModifiedBy>
  <cp:revision>2</cp:revision>
  <cp:lastPrinted>2017-05-31T08:48:00Z</cp:lastPrinted>
  <dcterms:created xsi:type="dcterms:W3CDTF">2017-07-05T07:20:00Z</dcterms:created>
  <dcterms:modified xsi:type="dcterms:W3CDTF">2017-07-05T07:20:00Z</dcterms:modified>
</cp:coreProperties>
</file>