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SZKOLENIE</w:t>
        <w:br/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Edukacja ogólna w ramach ZIT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konkurs zamkni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ęty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3"/>
          <w:shd w:fill="FFFFFF" w:val="clear"/>
        </w:rPr>
        <w:t xml:space="preserve">nr RPMA.10.01.02-IP.01-14-37/17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17/02/2017</w:t>
        <w:br/>
        <w:t xml:space="preserve">Warszawa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97" w:dyaOrig="648">
          <v:rect xmlns:o="urn:schemas-microsoft-com:office:office" xmlns:v="urn:schemas-microsoft-com:vml" id="rectole0000000000" style="width:434.850000pt;height:3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352" w:type="dxa"/>
      </w:tblPr>
      <w:tblGrid>
        <w:gridCol w:w="1594"/>
        <w:gridCol w:w="7345"/>
      </w:tblGrid>
      <w:tr>
        <w:trPr>
          <w:trHeight w:val="415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09:30-10:00</w:t>
            </w:r>
          </w:p>
        </w:tc>
        <w:tc>
          <w:tcPr>
            <w:tcW w:w="7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Rejestracja uczestników</w:t>
            </w:r>
          </w:p>
        </w:tc>
      </w:tr>
      <w:tr>
        <w:trPr>
          <w:trHeight w:val="968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10:00-11.20</w:t>
            </w:r>
          </w:p>
        </w:tc>
        <w:tc>
          <w:tcPr>
            <w:tcW w:w="7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3"/>
              </w:numPr>
              <w:spacing w:before="280" w:after="0" w:line="240"/>
              <w:ind w:right="0" w:left="39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Kwalifikowalno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wsparcia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typy projekt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ów, typy wnioskodawców</w:t>
            </w:r>
          </w:p>
          <w:p>
            <w:pPr>
              <w:numPr>
                <w:ilvl w:val="0"/>
                <w:numId w:val="13"/>
              </w:numPr>
              <w:spacing w:before="280" w:after="0" w:line="240"/>
              <w:ind w:right="0" w:left="39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Omówienie kryteriów wyboru projektów do dofinansowania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11:20-11.30</w:t>
            </w:r>
          </w:p>
        </w:tc>
        <w:tc>
          <w:tcPr>
            <w:tcW w:w="7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Przerwa </w:t>
            </w:r>
          </w:p>
        </w:tc>
      </w:tr>
      <w:tr>
        <w:trPr>
          <w:trHeight w:val="486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11.30-13.30</w:t>
            </w:r>
          </w:p>
        </w:tc>
        <w:tc>
          <w:tcPr>
            <w:tcW w:w="7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"/>
              </w:numPr>
              <w:suppressAutoHyphens w:val="true"/>
              <w:spacing w:before="280" w:after="0" w:line="285"/>
              <w:ind w:right="0" w:left="748" w:hanging="709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Kwalifikowalno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wydatk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ramach konkursu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nr RPMA.10.01.02- IP.01-14-37/17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  <w:tab w:val="left" w:pos="39" w:leader="none"/>
              </w:tabs>
              <w:suppressAutoHyphens w:val="true"/>
              <w:spacing w:before="0" w:after="0" w:line="240"/>
              <w:ind w:right="0" w:left="0" w:firstLine="39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Omówienia sytemu MEWA 2.0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zasady 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ładanie wniosku w systemie</w:t>
            </w:r>
          </w:p>
          <w:p>
            <w:pPr>
              <w:suppressAutoHyphens w:val="true"/>
              <w:spacing w:before="0" w:after="0" w:line="240"/>
              <w:ind w:right="0" w:left="39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13:30-13:40</w:t>
            </w:r>
          </w:p>
        </w:tc>
        <w:tc>
          <w:tcPr>
            <w:tcW w:w="7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Przerwa </w:t>
            </w:r>
          </w:p>
        </w:tc>
      </w:tr>
      <w:tr>
        <w:trPr>
          <w:trHeight w:val="405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13:45-14:30</w:t>
            </w:r>
          </w:p>
        </w:tc>
        <w:tc>
          <w:tcPr>
            <w:tcW w:w="7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29"/>
              </w:num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Indywidualne konsultacje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Czas trwania poszczególnych modu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ów szkoleniowych jest ka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żdorazowo dopasowywany do potrzeb grupy.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Wydatek wspó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łfinansowany z Europejskiego Funduszu Społecznego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21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