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SZKOLENIE</w:t>
        <w:br/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Infrastruktura ochrony zdrowia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Helvetica" w:hAnsi="Helvetica" w:cs="Helvetica" w:eastAsia="Helvetica"/>
          <w:b/>
          <w:color w:val="000000"/>
          <w:spacing w:val="0"/>
          <w:position w:val="0"/>
          <w:sz w:val="23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konkurs zamkni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  <w:t xml:space="preserve">ęty </w:t>
      </w:r>
      <w:r>
        <w:rPr>
          <w:rFonts w:ascii="Helvetica" w:hAnsi="Helvetica" w:cs="Helvetica" w:eastAsia="Helvetica"/>
          <w:b/>
          <w:color w:val="000000"/>
          <w:spacing w:val="0"/>
          <w:position w:val="0"/>
          <w:sz w:val="23"/>
          <w:shd w:fill="FFFFFF" w:val="clear"/>
        </w:rPr>
        <w:t xml:space="preserve">nr RPMA.06.01.00-IP.01-14-042/16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b/>
          <w:color w:val="000000"/>
          <w:spacing w:val="0"/>
          <w:position w:val="0"/>
          <w:sz w:val="23"/>
          <w:shd w:fill="FFFFFF" w:val="clear"/>
        </w:rPr>
        <w:t xml:space="preserve">(inwestycje obj</w:t>
      </w:r>
      <w:r>
        <w:rPr>
          <w:rFonts w:ascii="Helvetica" w:hAnsi="Helvetica" w:cs="Helvetica" w:eastAsia="Helvetica"/>
          <w:b/>
          <w:color w:val="000000"/>
          <w:spacing w:val="0"/>
          <w:position w:val="0"/>
          <w:sz w:val="23"/>
          <w:shd w:fill="FFFFFF" w:val="clear"/>
        </w:rPr>
        <w:t xml:space="preserve">ęte OSI problemowymi)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10/02/2017</w:t>
        <w:br/>
        <w:t xml:space="preserve">Warszawa</w:t>
      </w:r>
    </w:p>
    <w:p>
      <w:pPr>
        <w:suppressAutoHyphens w:val="true"/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8697" w:dyaOrig="648">
          <v:rect xmlns:o="urn:schemas-microsoft-com:office:office" xmlns:v="urn:schemas-microsoft-com:vml" id="rectole0000000000" style="width:434.850000pt;height:32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>
        <w:tblInd w:w="352" w:type="dxa"/>
      </w:tblPr>
      <w:tblGrid>
        <w:gridCol w:w="1594"/>
        <w:gridCol w:w="7345"/>
      </w:tblGrid>
      <w:tr>
        <w:trPr>
          <w:trHeight w:val="415" w:hRule="auto"/>
          <w:jc w:val="left"/>
        </w:trPr>
        <w:tc>
          <w:tcPr>
            <w:tcW w:w="1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09:30-10:00</w:t>
            </w:r>
          </w:p>
        </w:tc>
        <w:tc>
          <w:tcPr>
            <w:tcW w:w="7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Rejestracja uczestników</w:t>
            </w:r>
          </w:p>
        </w:tc>
      </w:tr>
      <w:tr>
        <w:trPr>
          <w:trHeight w:val="968" w:hRule="auto"/>
          <w:jc w:val="left"/>
        </w:trPr>
        <w:tc>
          <w:tcPr>
            <w:tcW w:w="1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10:00-11.20</w:t>
            </w:r>
          </w:p>
        </w:tc>
        <w:tc>
          <w:tcPr>
            <w:tcW w:w="7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72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13"/>
              </w:numPr>
              <w:spacing w:before="280" w:after="0" w:line="240"/>
              <w:ind w:right="0" w:left="39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Kwalifikowalno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ść wsparcia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typy projekt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ów, typy wnioskodawców</w:t>
            </w:r>
          </w:p>
          <w:p>
            <w:pPr>
              <w:numPr>
                <w:ilvl w:val="0"/>
                <w:numId w:val="13"/>
              </w:numPr>
              <w:spacing w:before="280" w:after="0" w:line="240"/>
              <w:ind w:right="0" w:left="39" w:firstLine="0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Omówienie kryteriów wyboru projektów do dofinansowania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28" w:hRule="auto"/>
          <w:jc w:val="left"/>
        </w:trPr>
        <w:tc>
          <w:tcPr>
            <w:tcW w:w="1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11:20-11.30</w:t>
            </w:r>
          </w:p>
        </w:tc>
        <w:tc>
          <w:tcPr>
            <w:tcW w:w="7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Przerwa </w:t>
            </w:r>
          </w:p>
        </w:tc>
      </w:tr>
      <w:tr>
        <w:trPr>
          <w:trHeight w:val="486" w:hRule="auto"/>
          <w:jc w:val="left"/>
        </w:trPr>
        <w:tc>
          <w:tcPr>
            <w:tcW w:w="1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11.30-13.30</w:t>
            </w:r>
          </w:p>
        </w:tc>
        <w:tc>
          <w:tcPr>
            <w:tcW w:w="7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21"/>
              </w:numPr>
              <w:tabs>
                <w:tab w:val="left" w:pos="0" w:leader="none"/>
                <w:tab w:val="left" w:pos="39" w:leader="none"/>
              </w:tabs>
              <w:suppressAutoHyphens w:val="true"/>
              <w:spacing w:before="0" w:after="0" w:line="240"/>
              <w:ind w:right="0" w:left="0" w:firstLine="39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Kwalifikowalno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ść wydatk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ów w ramach konkursu</w:t>
            </w:r>
          </w:p>
          <w:p>
            <w:pPr>
              <w:numPr>
                <w:ilvl w:val="0"/>
                <w:numId w:val="21"/>
              </w:numPr>
              <w:tabs>
                <w:tab w:val="left" w:pos="0" w:leader="none"/>
                <w:tab w:val="left" w:pos="39" w:leader="none"/>
              </w:tabs>
              <w:suppressAutoHyphens w:val="true"/>
              <w:spacing w:before="0" w:after="0" w:line="240"/>
              <w:ind w:right="0" w:left="0" w:firstLine="39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Omówienia sytemu MEWA 2.0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zasady sk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ładanie wniosku w systemie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405" w:hRule="auto"/>
          <w:jc w:val="left"/>
        </w:trPr>
        <w:tc>
          <w:tcPr>
            <w:tcW w:w="1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13:30-13:40</w:t>
            </w:r>
          </w:p>
        </w:tc>
        <w:tc>
          <w:tcPr>
            <w:tcW w:w="7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Przerwa </w:t>
            </w:r>
          </w:p>
        </w:tc>
      </w:tr>
      <w:tr>
        <w:trPr>
          <w:trHeight w:val="405" w:hRule="auto"/>
          <w:jc w:val="left"/>
        </w:trPr>
        <w:tc>
          <w:tcPr>
            <w:tcW w:w="1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13:45-14:30</w:t>
            </w:r>
          </w:p>
        </w:tc>
        <w:tc>
          <w:tcPr>
            <w:tcW w:w="73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numPr>
                <w:ilvl w:val="0"/>
                <w:numId w:val="28"/>
              </w:numPr>
              <w:suppressAutoHyphens w:val="tru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Indywidualne konsultacje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Czas trwania poszczególnych modu</w:t>
      </w: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ł</w:t>
      </w: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ów szkoleniowych jest ka</w:t>
      </w:r>
      <w:r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  <w:t xml:space="preserve">żdorazowo dopasowywany do potrzeb grupy.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18"/>
          <w:u w:val="single"/>
          <w:shd w:fill="auto" w:val="clear"/>
        </w:rPr>
        <w:t xml:space="preserve">Wydatek wspó</w:t>
      </w:r>
      <w:r>
        <w:rPr>
          <w:rFonts w:ascii="Arial" w:hAnsi="Arial" w:cs="Arial" w:eastAsia="Arial"/>
          <w:i/>
          <w:color w:val="auto"/>
          <w:spacing w:val="0"/>
          <w:position w:val="0"/>
          <w:sz w:val="18"/>
          <w:u w:val="single"/>
          <w:shd w:fill="auto" w:val="clear"/>
        </w:rPr>
        <w:t xml:space="preserve">łfinansowany z Europejskiego Funduszu Społecznego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3">
    <w:abstractNumId w:val="12"/>
  </w:num>
  <w:num w:numId="21">
    <w:abstractNumId w:val="6"/>
  </w:num>
  <w:num w:numId="2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