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5BAFC" w14:textId="77777777" w:rsidR="00D470AA" w:rsidRDefault="00D470AA" w:rsidP="00D470AA">
      <w:pPr>
        <w:spacing w:before="120" w:after="120"/>
        <w:jc w:val="center"/>
        <w:rPr>
          <w:rFonts w:ascii="Arial" w:hAnsi="Arial" w:cs="Arial"/>
          <w:sz w:val="20"/>
          <w:szCs w:val="20"/>
        </w:rPr>
      </w:pPr>
    </w:p>
    <w:p w14:paraId="30131983" w14:textId="77777777" w:rsidR="00C623DD" w:rsidRDefault="00C623DD" w:rsidP="00D470AA">
      <w:pPr>
        <w:spacing w:before="120" w:after="120"/>
        <w:jc w:val="center"/>
        <w:rPr>
          <w:rFonts w:ascii="Arial" w:hAnsi="Arial" w:cs="Arial"/>
          <w:sz w:val="20"/>
          <w:szCs w:val="20"/>
        </w:rPr>
      </w:pPr>
    </w:p>
    <w:p w14:paraId="67C67767" w14:textId="77777777" w:rsidR="00654996" w:rsidRPr="00063641" w:rsidRDefault="00C623DD" w:rsidP="00D470AA">
      <w:pPr>
        <w:spacing w:before="120" w:after="120"/>
        <w:jc w:val="center"/>
        <w:rPr>
          <w:rFonts w:cs="Arial"/>
          <w:b/>
          <w:sz w:val="20"/>
          <w:szCs w:val="20"/>
        </w:rPr>
      </w:pPr>
      <w:r w:rsidRPr="00063641">
        <w:rPr>
          <w:rFonts w:cs="Arial"/>
          <w:b/>
          <w:sz w:val="20"/>
          <w:szCs w:val="20"/>
        </w:rPr>
        <w:t>Komunikat</w:t>
      </w:r>
    </w:p>
    <w:p w14:paraId="43DF88D4" w14:textId="77777777" w:rsidR="00C623DD" w:rsidRPr="00063641" w:rsidRDefault="00C623DD" w:rsidP="00D470A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719101C2" w14:textId="3288004E" w:rsidR="00AA01F3" w:rsidRPr="008122A3" w:rsidRDefault="00AA01F3" w:rsidP="00AA01F3">
      <w:pPr>
        <w:spacing w:before="120" w:after="120"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D22789">
        <w:rPr>
          <w:rFonts w:ascii="Arial" w:hAnsi="Arial" w:cs="Arial"/>
          <w:sz w:val="20"/>
          <w:szCs w:val="20"/>
        </w:rPr>
        <w:t>Mazowiecka Jednostka Wdrażania Programów Unijnych informuje, że</w:t>
      </w:r>
      <w:r>
        <w:rPr>
          <w:rFonts w:ascii="Arial" w:hAnsi="Arial" w:cs="Arial"/>
          <w:sz w:val="20"/>
          <w:szCs w:val="20"/>
        </w:rPr>
        <w:t xml:space="preserve"> zgodnie z uchwałą</w:t>
      </w:r>
      <w:r w:rsidRPr="00D22789">
        <w:rPr>
          <w:rFonts w:ascii="Arial" w:hAnsi="Arial" w:cs="Arial"/>
          <w:sz w:val="20"/>
          <w:szCs w:val="20"/>
        </w:rPr>
        <w:t xml:space="preserve"> </w:t>
      </w:r>
      <w:r w:rsidRPr="00B23D8A">
        <w:rPr>
          <w:rFonts w:ascii="Arial" w:hAnsi="Arial" w:cs="Arial"/>
          <w:sz w:val="20"/>
          <w:szCs w:val="20"/>
        </w:rPr>
        <w:t>Zarząd</w:t>
      </w:r>
      <w:r>
        <w:rPr>
          <w:rFonts w:ascii="Arial" w:hAnsi="Arial" w:cs="Arial"/>
          <w:sz w:val="20"/>
          <w:szCs w:val="20"/>
        </w:rPr>
        <w:t>u</w:t>
      </w:r>
      <w:r w:rsidRPr="00B23D8A">
        <w:rPr>
          <w:rFonts w:ascii="Arial" w:hAnsi="Arial" w:cs="Arial"/>
          <w:sz w:val="20"/>
          <w:szCs w:val="20"/>
        </w:rPr>
        <w:t xml:space="preserve"> Województwa Mazowieckiego dnia 13 czerwca 2017 r</w:t>
      </w:r>
      <w:r>
        <w:rPr>
          <w:rFonts w:ascii="Arial" w:hAnsi="Arial" w:cs="Arial"/>
          <w:sz w:val="20"/>
          <w:szCs w:val="20"/>
        </w:rPr>
        <w:t xml:space="preserve">., nastąpiła aktualizacja </w:t>
      </w:r>
      <w:r>
        <w:rPr>
          <w:rFonts w:ascii="Arial" w:hAnsi="Arial" w:cs="Arial"/>
          <w:color w:val="000000"/>
          <w:sz w:val="20"/>
          <w:szCs w:val="20"/>
        </w:rPr>
        <w:t>wzoru umów o</w:t>
      </w:r>
      <w:r w:rsidR="004600A1">
        <w:rPr>
          <w:rFonts w:ascii="Arial" w:hAnsi="Arial" w:cs="Arial"/>
          <w:color w:val="000000"/>
          <w:sz w:val="20"/>
          <w:szCs w:val="20"/>
        </w:rPr>
        <w:t> </w:t>
      </w:r>
      <w:r w:rsidRPr="00305EB8">
        <w:rPr>
          <w:rFonts w:ascii="Arial" w:hAnsi="Arial" w:cs="Arial"/>
          <w:color w:val="000000"/>
          <w:sz w:val="20"/>
          <w:szCs w:val="20"/>
        </w:rPr>
        <w:t>dofinansowanie projektu współfinansowanego z Europejskiego Funduszu Społecznego w ramach IX i X Osi Priorytetowej</w:t>
      </w:r>
      <w:r>
        <w:rPr>
          <w:rFonts w:ascii="Arial" w:hAnsi="Arial" w:cs="Arial"/>
          <w:color w:val="000000"/>
          <w:sz w:val="20"/>
          <w:szCs w:val="20"/>
        </w:rPr>
        <w:t xml:space="preserve"> RPO WM 2014-2020. </w:t>
      </w:r>
    </w:p>
    <w:p w14:paraId="62FD5A06" w14:textId="77777777" w:rsidR="00C623DD" w:rsidRDefault="00C623DD" w:rsidP="00D470AA">
      <w:pPr>
        <w:spacing w:before="120" w:after="120"/>
        <w:jc w:val="center"/>
        <w:rPr>
          <w:rFonts w:ascii="Arial" w:hAnsi="Arial" w:cs="Arial"/>
          <w:sz w:val="20"/>
          <w:szCs w:val="20"/>
        </w:rPr>
      </w:pPr>
    </w:p>
    <w:p w14:paraId="2C737D69" w14:textId="77777777" w:rsidR="00605076" w:rsidRPr="00605076" w:rsidRDefault="00605076" w:rsidP="00605076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659EE7D4" w14:textId="290C7C4E" w:rsidR="004600A1" w:rsidRDefault="00063641" w:rsidP="00A22845">
      <w:pPr>
        <w:spacing w:before="120"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A01F3">
        <w:rPr>
          <w:rFonts w:ascii="Arial" w:hAnsi="Arial" w:cs="Arial"/>
          <w:sz w:val="20"/>
          <w:szCs w:val="20"/>
        </w:rPr>
        <w:t>Szczegółowe informacje znajdują się w poniższ</w:t>
      </w:r>
      <w:r w:rsidR="00AE40CC">
        <w:rPr>
          <w:rFonts w:ascii="Arial" w:hAnsi="Arial" w:cs="Arial"/>
          <w:sz w:val="20"/>
          <w:szCs w:val="20"/>
        </w:rPr>
        <w:t>ych</w:t>
      </w:r>
      <w:r w:rsidRPr="00AA01F3">
        <w:rPr>
          <w:rFonts w:ascii="Arial" w:hAnsi="Arial" w:cs="Arial"/>
          <w:sz w:val="20"/>
          <w:szCs w:val="20"/>
        </w:rPr>
        <w:t xml:space="preserve"> tabel</w:t>
      </w:r>
      <w:r w:rsidR="00AE40CC">
        <w:rPr>
          <w:rFonts w:ascii="Arial" w:hAnsi="Arial" w:cs="Arial"/>
          <w:sz w:val="20"/>
          <w:szCs w:val="20"/>
        </w:rPr>
        <w:t>ach</w:t>
      </w:r>
      <w:r w:rsidRPr="00AA01F3">
        <w:rPr>
          <w:rFonts w:ascii="Arial" w:hAnsi="Arial" w:cs="Arial"/>
          <w:sz w:val="20"/>
          <w:szCs w:val="20"/>
        </w:rPr>
        <w:t xml:space="preserve"> zmian</w:t>
      </w:r>
      <w:r w:rsidR="004600A1">
        <w:rPr>
          <w:rFonts w:ascii="Arial" w:hAnsi="Arial" w:cs="Arial"/>
          <w:sz w:val="20"/>
          <w:szCs w:val="20"/>
        </w:rPr>
        <w:t>:</w:t>
      </w:r>
    </w:p>
    <w:p w14:paraId="1C30A32F" w14:textId="5F098564" w:rsidR="004600A1" w:rsidRDefault="00063641" w:rsidP="00A22845">
      <w:pPr>
        <w:pStyle w:val="Akapitzlist"/>
        <w:numPr>
          <w:ilvl w:val="0"/>
          <w:numId w:val="36"/>
        </w:numPr>
        <w:spacing w:before="120" w:after="12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22845">
        <w:rPr>
          <w:rFonts w:ascii="Arial" w:hAnsi="Arial" w:cs="Arial"/>
          <w:sz w:val="20"/>
          <w:szCs w:val="20"/>
        </w:rPr>
        <w:t>nr 1</w:t>
      </w:r>
      <w:r w:rsidR="00AE40CC" w:rsidRPr="00A22845">
        <w:rPr>
          <w:rFonts w:ascii="Arial" w:hAnsi="Arial" w:cs="Arial"/>
          <w:sz w:val="20"/>
          <w:szCs w:val="20"/>
        </w:rPr>
        <w:t xml:space="preserve"> (dla umów standardowych) </w:t>
      </w:r>
    </w:p>
    <w:p w14:paraId="10F0FC86" w14:textId="77777777" w:rsidR="00063641" w:rsidRPr="00A22845" w:rsidRDefault="00AE40CC" w:rsidP="00A22845">
      <w:pPr>
        <w:pStyle w:val="Akapitzlist"/>
        <w:numPr>
          <w:ilvl w:val="0"/>
          <w:numId w:val="36"/>
        </w:numPr>
        <w:spacing w:before="120" w:after="12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22845">
        <w:rPr>
          <w:rFonts w:ascii="Arial" w:hAnsi="Arial" w:cs="Arial"/>
          <w:sz w:val="20"/>
          <w:szCs w:val="20"/>
        </w:rPr>
        <w:t>nr 2 (dla projektów, w których wartość wkładu publicznego – środków publicznych – nie przekracza w PLN równowartości w kwoty 100 000 EUR przeliczonej na PLN zgodnie z Wytycznymi w zakresie kwalifikowalności wydatków w ramach Europejskiego Funduszu Rozwoju Regionalnego, Europejskiego Funduszu Społecznego oraz  Funduszu Spójności na lata 2014-2020 oraz rozliczanych w oparciu o kwoty ryczałtowe zgodnie z ww. Wytycznymi)</w:t>
      </w:r>
      <w:r w:rsidR="00063641" w:rsidRPr="00A22845">
        <w:rPr>
          <w:rFonts w:ascii="Arial" w:hAnsi="Arial" w:cs="Arial"/>
          <w:sz w:val="20"/>
          <w:szCs w:val="20"/>
        </w:rPr>
        <w:t>.</w:t>
      </w:r>
    </w:p>
    <w:p w14:paraId="081447DF" w14:textId="77777777" w:rsidR="004D6857" w:rsidRPr="00605076" w:rsidRDefault="004D6857" w:rsidP="00605076">
      <w:pPr>
        <w:spacing w:after="0" w:line="360" w:lineRule="auto"/>
        <w:jc w:val="both"/>
        <w:rPr>
          <w:rFonts w:cs="Arial"/>
          <w:sz w:val="20"/>
          <w:szCs w:val="20"/>
        </w:rPr>
        <w:sectPr w:rsidR="004D6857" w:rsidRPr="00605076" w:rsidSect="00DD0718">
          <w:headerReference w:type="default" r:id="rId9"/>
          <w:footerReference w:type="default" r:id="rId10"/>
          <w:pgSz w:w="11906" w:h="16838"/>
          <w:pgMar w:top="2268" w:right="1274" w:bottom="1134" w:left="1276" w:header="567" w:footer="850" w:gutter="0"/>
          <w:cols w:space="708"/>
          <w:docGrid w:linePitch="360"/>
        </w:sectPr>
      </w:pPr>
    </w:p>
    <w:p w14:paraId="0D15E96A" w14:textId="77777777" w:rsidR="00063641" w:rsidRDefault="00063641" w:rsidP="00063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lastRenderedPageBreak/>
        <w:t>Tabela zmian nr 1</w:t>
      </w:r>
      <w:r w:rsidR="00BF28F5">
        <w:rPr>
          <w:rFonts w:eastAsia="Times New Roman" w:cs="Arial"/>
          <w:b/>
          <w:bCs/>
          <w:sz w:val="20"/>
          <w:szCs w:val="20"/>
          <w:lang w:eastAsia="pl-PL"/>
        </w:rPr>
        <w:t xml:space="preserve"> w ramach konkursu nr </w:t>
      </w:r>
      <w:r w:rsidR="00BF28F5" w:rsidRPr="00BF28F5">
        <w:rPr>
          <w:rFonts w:eastAsia="Times New Roman" w:cs="Arial"/>
          <w:b/>
          <w:bCs/>
          <w:sz w:val="20"/>
          <w:szCs w:val="20"/>
          <w:lang w:eastAsia="pl-PL"/>
        </w:rPr>
        <w:t>RPMA.09.02.01-IP.01-14-050/17</w:t>
      </w:r>
    </w:p>
    <w:p w14:paraId="1CA85237" w14:textId="77777777" w:rsidR="00063641" w:rsidRDefault="00063641" w:rsidP="0006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0066BF22" w14:textId="77777777" w:rsidR="00063641" w:rsidRDefault="00063641" w:rsidP="0006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00BF22D8" w14:textId="77777777" w:rsidR="00063641" w:rsidRDefault="00063641" w:rsidP="0006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pl-PL"/>
        </w:rPr>
      </w:pPr>
      <w:r w:rsidRPr="00063641">
        <w:rPr>
          <w:rFonts w:eastAsia="Times New Roman" w:cs="Arial"/>
          <w:b/>
          <w:bCs/>
          <w:sz w:val="20"/>
          <w:szCs w:val="20"/>
          <w:lang w:eastAsia="pl-PL"/>
        </w:rPr>
        <w:t>Tabela zmian wzoru Umowy o dofinansowanie projektu współfinansowanego z Europejskiego Funduszu Społecznego w ramach IX i X Osi Priorytetowej Regionalnego Programu Operacyjnego Województwa Mazowieckiego na lata 2014-2020</w:t>
      </w:r>
      <w:r w:rsidR="00AE40CC">
        <w:rPr>
          <w:rFonts w:eastAsia="Times New Roman" w:cs="Arial"/>
          <w:b/>
          <w:bCs/>
          <w:sz w:val="20"/>
          <w:szCs w:val="20"/>
          <w:lang w:eastAsia="pl-PL"/>
        </w:rPr>
        <w:t xml:space="preserve"> [ umowa standardowa]</w:t>
      </w:r>
    </w:p>
    <w:p w14:paraId="3FA86162" w14:textId="77777777" w:rsidR="00AE40CC" w:rsidRPr="00063641" w:rsidRDefault="00AE40CC" w:rsidP="0006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pl-PL"/>
        </w:rPr>
      </w:pPr>
    </w:p>
    <w:tbl>
      <w:tblPr>
        <w:tblW w:w="150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702"/>
        <w:gridCol w:w="3826"/>
        <w:gridCol w:w="4112"/>
        <w:gridCol w:w="4676"/>
      </w:tblGrid>
      <w:tr w:rsidR="00063641" w:rsidRPr="00063641" w14:paraId="756C7445" w14:textId="77777777" w:rsidTr="00063641">
        <w:tc>
          <w:tcPr>
            <w:tcW w:w="711" w:type="dxa"/>
            <w:vAlign w:val="center"/>
          </w:tcPr>
          <w:p w14:paraId="39ACB532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2" w:type="dxa"/>
            <w:vAlign w:val="center"/>
          </w:tcPr>
          <w:p w14:paraId="31B00DFD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/>
                <w:sz w:val="20"/>
                <w:szCs w:val="20"/>
                <w:lang w:eastAsia="pl-PL"/>
              </w:rPr>
              <w:t>Miejsce zmiany</w:t>
            </w:r>
          </w:p>
        </w:tc>
        <w:tc>
          <w:tcPr>
            <w:tcW w:w="3826" w:type="dxa"/>
            <w:vAlign w:val="center"/>
          </w:tcPr>
          <w:p w14:paraId="4A15800C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/>
                <w:sz w:val="20"/>
                <w:szCs w:val="20"/>
                <w:lang w:eastAsia="pl-PL"/>
              </w:rPr>
              <w:t>Dotychczasowy zapis</w:t>
            </w:r>
          </w:p>
        </w:tc>
        <w:tc>
          <w:tcPr>
            <w:tcW w:w="4112" w:type="dxa"/>
            <w:vAlign w:val="center"/>
          </w:tcPr>
          <w:p w14:paraId="35DE1DBC" w14:textId="2F012510" w:rsidR="00063641" w:rsidRPr="00063641" w:rsidRDefault="00AE40CC" w:rsidP="00063641">
            <w:pPr>
              <w:widowControl w:val="0"/>
              <w:adjustRightIn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Obecny</w:t>
            </w:r>
            <w:r w:rsidRPr="00063641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="00063641" w:rsidRPr="00063641">
              <w:rPr>
                <w:rFonts w:eastAsia="Times New Roman" w:cs="Arial"/>
                <w:b/>
                <w:sz w:val="20"/>
                <w:szCs w:val="20"/>
                <w:lang w:eastAsia="pl-PL"/>
              </w:rPr>
              <w:t>zapis</w:t>
            </w:r>
          </w:p>
        </w:tc>
        <w:tc>
          <w:tcPr>
            <w:tcW w:w="4676" w:type="dxa"/>
            <w:vAlign w:val="center"/>
          </w:tcPr>
          <w:p w14:paraId="252772D1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/>
                <w:sz w:val="20"/>
                <w:szCs w:val="20"/>
                <w:lang w:eastAsia="pl-PL"/>
              </w:rPr>
              <w:t>Uzasadnienie/Uwagi</w:t>
            </w:r>
          </w:p>
        </w:tc>
      </w:tr>
      <w:tr w:rsidR="00063641" w:rsidRPr="00063641" w14:paraId="79563AB6" w14:textId="77777777" w:rsidTr="00063641">
        <w:tc>
          <w:tcPr>
            <w:tcW w:w="711" w:type="dxa"/>
            <w:vAlign w:val="center"/>
          </w:tcPr>
          <w:p w14:paraId="5CB56BAF" w14:textId="77777777" w:rsidR="00063641" w:rsidRPr="00063641" w:rsidRDefault="00063641" w:rsidP="00063641">
            <w:pPr>
              <w:widowControl w:val="0"/>
              <w:numPr>
                <w:ilvl w:val="0"/>
                <w:numId w:val="32"/>
              </w:numPr>
              <w:adjustRightInd w:val="0"/>
              <w:spacing w:after="0"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14:paraId="36F0F2B7" w14:textId="77777777" w:rsidR="00063641" w:rsidRPr="00063641" w:rsidRDefault="00063641" w:rsidP="00063641">
            <w:pPr>
              <w:widowControl w:val="0"/>
              <w:adjustRightInd w:val="0"/>
              <w:spacing w:after="0" w:line="360" w:lineRule="atLeast"/>
              <w:ind w:left="317" w:hanging="357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§ 3 ust. 7</w:t>
            </w:r>
          </w:p>
        </w:tc>
        <w:tc>
          <w:tcPr>
            <w:tcW w:w="3826" w:type="dxa"/>
            <w:vAlign w:val="center"/>
          </w:tcPr>
          <w:p w14:paraId="549C1DA9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Wytycznych w zakresie realizacji zasady równości szans i niedyskryminacji oraz zasady równości szans kobiet i mężczyzn w ramach funduszy unijnych na lata 2014-2020</w:t>
            </w:r>
          </w:p>
        </w:tc>
        <w:tc>
          <w:tcPr>
            <w:tcW w:w="4112" w:type="dxa"/>
            <w:vAlign w:val="center"/>
          </w:tcPr>
          <w:p w14:paraId="042ACBAB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ind w:left="34" w:hanging="34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Wytycznych w zakresie realizacji zasady równości szans i niedyskryminacji, w tym dostępności dla osób z niepełnosprawnościami oraz zasady równości szans kobiet i mężczyzn w ramach funduszy unijnych na lata 2014-2020</w:t>
            </w:r>
          </w:p>
        </w:tc>
        <w:tc>
          <w:tcPr>
            <w:tcW w:w="4676" w:type="dxa"/>
            <w:vAlign w:val="center"/>
          </w:tcPr>
          <w:p w14:paraId="78D4087A" w14:textId="77777777" w:rsidR="00063641" w:rsidRPr="00063641" w:rsidRDefault="00063641" w:rsidP="00063641">
            <w:pPr>
              <w:suppressAutoHyphens/>
              <w:autoSpaceDN w:val="0"/>
              <w:spacing w:after="0" w:line="360" w:lineRule="atLeast"/>
              <w:ind w:left="34" w:right="-250" w:hanging="34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>Uzupełnienie zapisu.</w:t>
            </w:r>
          </w:p>
        </w:tc>
      </w:tr>
      <w:tr w:rsidR="00063641" w:rsidRPr="00063641" w14:paraId="74C02507" w14:textId="77777777" w:rsidTr="00063641">
        <w:tc>
          <w:tcPr>
            <w:tcW w:w="711" w:type="dxa"/>
            <w:vAlign w:val="center"/>
          </w:tcPr>
          <w:p w14:paraId="7C1744D6" w14:textId="77777777" w:rsidR="00063641" w:rsidRPr="00063641" w:rsidRDefault="00063641" w:rsidP="00063641">
            <w:pPr>
              <w:widowControl w:val="0"/>
              <w:numPr>
                <w:ilvl w:val="0"/>
                <w:numId w:val="32"/>
              </w:numPr>
              <w:adjustRightInd w:val="0"/>
              <w:spacing w:after="0"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14:paraId="23B8B52A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>§ 4 ust. 3</w:t>
            </w:r>
          </w:p>
        </w:tc>
        <w:tc>
          <w:tcPr>
            <w:tcW w:w="3826" w:type="dxa"/>
          </w:tcPr>
          <w:p w14:paraId="000AC3A2" w14:textId="77777777" w:rsidR="00063641" w:rsidRPr="00063641" w:rsidRDefault="00063641" w:rsidP="00063641">
            <w:pPr>
              <w:suppressAutoHyphens/>
              <w:autoSpaceDN w:val="0"/>
              <w:spacing w:before="120" w:after="0" w:line="240" w:lineRule="auto"/>
              <w:rPr>
                <w:rFonts w:eastAsia="Times New Roman" w:cs="Arial"/>
                <w:sz w:val="20"/>
                <w:szCs w:val="20"/>
                <w:vertAlign w:val="subscript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Wydatki w ramach Projektu mogą obejmować koszt podatku od towarów i usług, zgodnie ze złożonym przez Beneficjenta lub Partnerów oświadczeniem stanowiącym załącznik nr 3 do umowy</w:t>
            </w:r>
            <w:r w:rsidRPr="00063641">
              <w:rPr>
                <w:rFonts w:eastAsia="Times New Roman" w:cs="Arial"/>
                <w:sz w:val="20"/>
                <w:szCs w:val="20"/>
                <w:vertAlign w:val="superscript"/>
                <w:lang w:eastAsia="pl-PL"/>
              </w:rPr>
              <w:t>7)</w:t>
            </w:r>
            <w:r w:rsidRPr="00063641">
              <w:rPr>
                <w:rFonts w:eastAsia="Times New Roman" w:cs="Arial"/>
                <w:sz w:val="20"/>
                <w:szCs w:val="20"/>
                <w:vertAlign w:val="subscript"/>
                <w:lang w:eastAsia="pl-PL"/>
              </w:rPr>
              <w:t>.</w:t>
            </w:r>
          </w:p>
          <w:p w14:paraId="37FFDA3F" w14:textId="77777777" w:rsidR="00063641" w:rsidRPr="00063641" w:rsidRDefault="00063641" w:rsidP="00063641">
            <w:pPr>
              <w:suppressAutoHyphens/>
              <w:autoSpaceDN w:val="0"/>
              <w:spacing w:before="12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vertAlign w:val="superscript"/>
                <w:lang w:eastAsia="pl-PL"/>
              </w:rPr>
              <w:t>7)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 Należy wykreślić, jeżeli Beneficjent/Partner nie będzie kwalifikował kosztu podatku od towarów i usług.</w:t>
            </w:r>
          </w:p>
        </w:tc>
        <w:tc>
          <w:tcPr>
            <w:tcW w:w="4112" w:type="dxa"/>
          </w:tcPr>
          <w:p w14:paraId="6D6465CC" w14:textId="77777777" w:rsidR="00063641" w:rsidRPr="00063641" w:rsidRDefault="00063641" w:rsidP="00063641">
            <w:pPr>
              <w:suppressAutoHyphens/>
              <w:autoSpaceDN w:val="0"/>
              <w:spacing w:before="12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76" w:type="dxa"/>
          </w:tcPr>
          <w:p w14:paraId="3FA23274" w14:textId="77777777" w:rsidR="00063641" w:rsidRPr="00063641" w:rsidRDefault="00063641" w:rsidP="00063641">
            <w:pPr>
              <w:suppressAutoHyphens/>
              <w:autoSpaceDN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Usunięcie zapisu. </w:t>
            </w:r>
          </w:p>
          <w:p w14:paraId="4C7662FB" w14:textId="77777777" w:rsidR="00063641" w:rsidRPr="00063641" w:rsidRDefault="00063641" w:rsidP="00063641">
            <w:pPr>
              <w:suppressAutoHyphens/>
              <w:autoSpaceDN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zapis dotyczący podatku od towarów i usług znajduje się w  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§ 5 ust. 6.</w:t>
            </w:r>
          </w:p>
        </w:tc>
      </w:tr>
      <w:tr w:rsidR="00063641" w:rsidRPr="00063641" w14:paraId="758D4592" w14:textId="77777777" w:rsidTr="00063641">
        <w:tc>
          <w:tcPr>
            <w:tcW w:w="711" w:type="dxa"/>
            <w:vAlign w:val="center"/>
          </w:tcPr>
          <w:p w14:paraId="0A596253" w14:textId="77777777" w:rsidR="00063641" w:rsidRPr="00063641" w:rsidRDefault="00063641" w:rsidP="00063641">
            <w:pPr>
              <w:widowControl w:val="0"/>
              <w:numPr>
                <w:ilvl w:val="0"/>
                <w:numId w:val="32"/>
              </w:numPr>
              <w:adjustRightInd w:val="0"/>
              <w:spacing w:after="0"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14:paraId="221DC978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§ 5 ust. 6 </w:t>
            </w:r>
          </w:p>
        </w:tc>
        <w:tc>
          <w:tcPr>
            <w:tcW w:w="3826" w:type="dxa"/>
          </w:tcPr>
          <w:p w14:paraId="6BC6C6B9" w14:textId="77777777" w:rsidR="00063641" w:rsidRPr="00063641" w:rsidRDefault="00063641" w:rsidP="00063641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Wydatki poniesione na podatek od towarów i usług (VAT) mogą zostać uznane za kwalifikowalne, jeśli nie ma prawnej możliwości odzyskania podatku VAT i nie podlega on zwrotowi lub odliczeniu na rzecz Beneficjenta, co Beneficjent potwierdza składając oświadczenie.</w:t>
            </w:r>
          </w:p>
          <w:p w14:paraId="43C2A802" w14:textId="77777777" w:rsidR="00063641" w:rsidRPr="00063641" w:rsidRDefault="00063641" w:rsidP="00063641">
            <w:pPr>
              <w:widowControl w:val="0"/>
              <w:adjustRightInd w:val="0"/>
              <w:spacing w:before="6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</w:tcPr>
          <w:p w14:paraId="1DB437DC" w14:textId="77777777" w:rsidR="00063641" w:rsidRPr="00063641" w:rsidRDefault="00063641" w:rsidP="00063641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Wydatki poniesione na podatek od towarów i usług (VAT) mogą zostać uznane za kwalifikowalne, jeśli nie ma prawnej możliwości odzyskania podatku VAT i nie podlega on zwrotowi lub odliczeniu na rzecz Beneficjenta </w:t>
            </w:r>
            <w:r w:rsidRPr="00063641">
              <w:rPr>
                <w:rFonts w:eastAsia="Times New Roman" w:cs="Arial"/>
                <w:b/>
                <w:sz w:val="20"/>
                <w:szCs w:val="20"/>
                <w:lang w:eastAsia="pl-PL"/>
              </w:rPr>
              <w:t>lub Partnerów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, co Beneficjent/</w:t>
            </w:r>
            <w:r w:rsidRPr="00063641">
              <w:rPr>
                <w:rFonts w:eastAsia="Times New Roman" w:cs="Arial"/>
                <w:b/>
                <w:sz w:val="20"/>
                <w:szCs w:val="20"/>
                <w:lang w:eastAsia="pl-PL"/>
              </w:rPr>
              <w:t>Partner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 potwierdza składając oświadczenie, </w:t>
            </w:r>
            <w:r w:rsidRPr="00063641">
              <w:rPr>
                <w:rFonts w:eastAsia="Times New Roman" w:cs="Arial"/>
                <w:b/>
                <w:sz w:val="20"/>
                <w:szCs w:val="20"/>
                <w:lang w:eastAsia="pl-PL"/>
              </w:rPr>
              <w:t>stanowiące załącznik nr 3 do umowy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  <w:p w14:paraId="25CFB250" w14:textId="77777777" w:rsidR="00063641" w:rsidRPr="00063641" w:rsidRDefault="00063641" w:rsidP="00063641">
            <w:pPr>
              <w:widowControl w:val="0"/>
              <w:adjustRightInd w:val="0"/>
              <w:spacing w:before="6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676" w:type="dxa"/>
          </w:tcPr>
          <w:p w14:paraId="2BF8742A" w14:textId="77777777" w:rsidR="00063641" w:rsidRPr="00063641" w:rsidRDefault="00063641" w:rsidP="00063641">
            <w:pPr>
              <w:suppressAutoHyphens/>
              <w:autoSpaceDN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lastRenderedPageBreak/>
              <w:t xml:space="preserve">Doprecyzowanie zapisu w wyniku usunięcia 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§ 4 ust. 3.</w:t>
            </w:r>
          </w:p>
        </w:tc>
      </w:tr>
      <w:tr w:rsidR="00063641" w:rsidRPr="00063641" w14:paraId="261B66FB" w14:textId="77777777" w:rsidTr="00063641">
        <w:tc>
          <w:tcPr>
            <w:tcW w:w="711" w:type="dxa"/>
            <w:vAlign w:val="center"/>
          </w:tcPr>
          <w:p w14:paraId="47B2FBD5" w14:textId="77777777" w:rsidR="00063641" w:rsidRPr="00063641" w:rsidRDefault="00063641" w:rsidP="00063641">
            <w:pPr>
              <w:widowControl w:val="0"/>
              <w:numPr>
                <w:ilvl w:val="0"/>
                <w:numId w:val="32"/>
              </w:numPr>
              <w:adjustRightInd w:val="0"/>
              <w:spacing w:after="0"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14:paraId="3873F5B8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>§ 8 ust. 1</w:t>
            </w:r>
          </w:p>
        </w:tc>
        <w:tc>
          <w:tcPr>
            <w:tcW w:w="3826" w:type="dxa"/>
          </w:tcPr>
          <w:p w14:paraId="53A6576E" w14:textId="77777777" w:rsidR="00063641" w:rsidRPr="00063641" w:rsidRDefault="00063641" w:rsidP="00063641">
            <w:pPr>
              <w:tabs>
                <w:tab w:val="num" w:pos="2880"/>
              </w:tabs>
              <w:spacing w:before="6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Dofinansowanie, o którym mowa w § 2, wypłacane jest w formie zaliczki lub refundacji poniesionych wydatków w wysokości określonej w harmonogramie płatności stanowiącym załącznik nr 4 do umowy, który Beneficjent dołącza w SL2014, z zastrzeżeniem </w:t>
            </w:r>
            <w:r w:rsidRPr="00063641">
              <w:rPr>
                <w:rFonts w:eastAsia="Times New Roman" w:cs="Arial"/>
                <w:b/>
                <w:sz w:val="20"/>
                <w:szCs w:val="20"/>
                <w:lang w:eastAsia="pl-PL"/>
              </w:rPr>
              <w:t>ust. 3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 i § 9. </w:t>
            </w:r>
          </w:p>
          <w:p w14:paraId="2F74EAA8" w14:textId="77777777" w:rsidR="00063641" w:rsidRPr="00063641" w:rsidRDefault="00063641" w:rsidP="00063641">
            <w:pPr>
              <w:suppressAutoHyphens/>
              <w:autoSpaceDN w:val="0"/>
              <w:spacing w:before="12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</w:tcPr>
          <w:p w14:paraId="335B04C0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Dofinansowanie, o którym mowa w § 2, wypłacane jest w formie zaliczki lub refundacji poniesionych wydatków w wysokości określonej w harmonogramie płatności stanowiącym załącznik nr 4 do umowy, który Beneficjent dołącza w SL2014, z zastrzeżeniem § 9.</w:t>
            </w:r>
          </w:p>
        </w:tc>
        <w:tc>
          <w:tcPr>
            <w:tcW w:w="4676" w:type="dxa"/>
          </w:tcPr>
          <w:p w14:paraId="45D20BCC" w14:textId="59F791C8" w:rsidR="00063641" w:rsidRPr="00063641" w:rsidRDefault="00063641" w:rsidP="00AE40CC">
            <w:pPr>
              <w:suppressAutoHyphens/>
              <w:autoSpaceDN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Usunięto odwołanie do ust. 3                          </w:t>
            </w:r>
          </w:p>
        </w:tc>
      </w:tr>
      <w:tr w:rsidR="00063641" w:rsidRPr="00063641" w14:paraId="1C0D642E" w14:textId="77777777" w:rsidTr="00063641">
        <w:tc>
          <w:tcPr>
            <w:tcW w:w="711" w:type="dxa"/>
            <w:vAlign w:val="center"/>
          </w:tcPr>
          <w:p w14:paraId="044A64CF" w14:textId="77777777" w:rsidR="00063641" w:rsidRPr="00063641" w:rsidRDefault="00063641" w:rsidP="00063641">
            <w:pPr>
              <w:widowControl w:val="0"/>
              <w:numPr>
                <w:ilvl w:val="0"/>
                <w:numId w:val="32"/>
              </w:numPr>
              <w:adjustRightInd w:val="0"/>
              <w:spacing w:after="0"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14:paraId="350A0076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>§ 8 ust. 3</w:t>
            </w:r>
          </w:p>
        </w:tc>
        <w:tc>
          <w:tcPr>
            <w:tcW w:w="3826" w:type="dxa"/>
          </w:tcPr>
          <w:p w14:paraId="5BC08F99" w14:textId="77777777" w:rsidR="00063641" w:rsidRPr="00063641" w:rsidRDefault="00063641" w:rsidP="00063641">
            <w:pPr>
              <w:tabs>
                <w:tab w:val="num" w:pos="2880"/>
              </w:tabs>
              <w:spacing w:before="6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Harmonogram płatności, o którym mowa w ust. 1, może podlegać aktualizacji, również z powodu, o którym mowa w § 9 ust. 3. Aktualizacja harmonogramu płatności, o której mowa w zdaniu pierwszym jest skuteczna, pod warunkiem akceptacji przez Instytucję Pośredniczącą w terminie, o którym mowa w § 10 ust. 2, i nie wymaga formy aneksu do niniejszej umowy.</w:t>
            </w:r>
          </w:p>
          <w:p w14:paraId="0551CD88" w14:textId="77777777" w:rsidR="00063641" w:rsidRPr="00063641" w:rsidRDefault="00063641" w:rsidP="00063641">
            <w:pPr>
              <w:widowControl w:val="0"/>
              <w:suppressAutoHyphens/>
              <w:spacing w:before="60"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</w:tcPr>
          <w:p w14:paraId="2E4691EE" w14:textId="77777777" w:rsidR="00063641" w:rsidRPr="00063641" w:rsidRDefault="00063641" w:rsidP="00063641">
            <w:pPr>
              <w:tabs>
                <w:tab w:val="num" w:pos="2880"/>
              </w:tabs>
              <w:spacing w:before="60" w:after="0" w:line="240" w:lineRule="auto"/>
              <w:ind w:left="34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Harmonogram płatności, o którym mowa w ust. 1, może podlegać aktualizacji. Aktualizacja harmonogramu płatności, jest skuteczna, pod warunkiem akceptacji przez Instytucję Pośredniczącą i nie wymaga formy aneksu do niniejszej umowy. </w:t>
            </w:r>
            <w:r w:rsidRPr="00063641">
              <w:rPr>
                <w:rFonts w:eastAsia="Times New Roman" w:cs="Arial"/>
                <w:b/>
                <w:sz w:val="20"/>
                <w:szCs w:val="20"/>
                <w:lang w:eastAsia="pl-PL"/>
              </w:rPr>
              <w:t>IP dokonuje weryfikacji harmonogramu płatności w terminie:</w:t>
            </w:r>
          </w:p>
          <w:p w14:paraId="645921CA" w14:textId="77777777" w:rsidR="00063641" w:rsidRPr="00063641" w:rsidRDefault="00063641" w:rsidP="00063641">
            <w:pPr>
              <w:widowControl w:val="0"/>
              <w:numPr>
                <w:ilvl w:val="0"/>
                <w:numId w:val="31"/>
              </w:numPr>
              <w:adjustRightInd w:val="0"/>
              <w:spacing w:before="60" w:after="0" w:line="240" w:lineRule="auto"/>
              <w:contextualSpacing/>
              <w:jc w:val="both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/>
                <w:sz w:val="20"/>
                <w:szCs w:val="20"/>
                <w:lang w:eastAsia="pl-PL"/>
              </w:rPr>
              <w:t>20 dni  roboczych – dla harmonogramu złożonego z wnioskiem o płatność;</w:t>
            </w:r>
          </w:p>
          <w:p w14:paraId="4A72236A" w14:textId="77777777" w:rsidR="00063641" w:rsidRPr="00063641" w:rsidRDefault="00063641" w:rsidP="00063641">
            <w:pPr>
              <w:widowControl w:val="0"/>
              <w:numPr>
                <w:ilvl w:val="0"/>
                <w:numId w:val="31"/>
              </w:numPr>
              <w:adjustRightInd w:val="0"/>
              <w:spacing w:before="60" w:after="0" w:line="240" w:lineRule="auto"/>
              <w:contextualSpacing/>
              <w:jc w:val="both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/>
                <w:sz w:val="20"/>
                <w:szCs w:val="20"/>
                <w:lang w:eastAsia="pl-PL"/>
              </w:rPr>
              <w:t>10 dni roboczych -  dla harmonogramu złożonego poza wnioskiem o płatność.</w:t>
            </w:r>
          </w:p>
          <w:p w14:paraId="17C57BF7" w14:textId="77777777" w:rsidR="00063641" w:rsidRPr="00063641" w:rsidRDefault="00063641" w:rsidP="00063641">
            <w:pPr>
              <w:widowControl w:val="0"/>
              <w:suppressAutoHyphens/>
              <w:spacing w:before="60"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76" w:type="dxa"/>
          </w:tcPr>
          <w:p w14:paraId="0E318022" w14:textId="38DA1353" w:rsidR="00063641" w:rsidRPr="00063641" w:rsidRDefault="00063641" w:rsidP="00AE40CC">
            <w:pPr>
              <w:suppressAutoHyphens/>
              <w:autoSpaceDN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>Doprecyzowano zapis</w:t>
            </w:r>
            <w:r w:rsidR="00AE40CC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 w</w:t>
            </w: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>skaz</w:t>
            </w:r>
            <w:r w:rsidR="00AE40CC">
              <w:rPr>
                <w:rFonts w:eastAsia="Times New Roman" w:cs="Arial"/>
                <w:bCs/>
                <w:sz w:val="20"/>
                <w:szCs w:val="20"/>
                <w:lang w:eastAsia="pl-PL"/>
              </w:rPr>
              <w:t>ując</w:t>
            </w: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 terminy weryfikacji  harmonogramu  płatności składanego z wnioskiem o płatność oraz poza wnioskiem o płatność. </w:t>
            </w:r>
          </w:p>
        </w:tc>
      </w:tr>
      <w:tr w:rsidR="00063641" w:rsidRPr="00063641" w14:paraId="4106110C" w14:textId="77777777" w:rsidTr="00063641">
        <w:tc>
          <w:tcPr>
            <w:tcW w:w="711" w:type="dxa"/>
            <w:vAlign w:val="center"/>
          </w:tcPr>
          <w:p w14:paraId="48C90BA8" w14:textId="77777777" w:rsidR="00063641" w:rsidRPr="00063641" w:rsidRDefault="00063641" w:rsidP="00063641">
            <w:pPr>
              <w:widowControl w:val="0"/>
              <w:numPr>
                <w:ilvl w:val="0"/>
                <w:numId w:val="32"/>
              </w:numPr>
              <w:adjustRightInd w:val="0"/>
              <w:spacing w:after="0"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14:paraId="63D108CA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>§ 8 ust. 8</w:t>
            </w:r>
          </w:p>
        </w:tc>
        <w:tc>
          <w:tcPr>
            <w:tcW w:w="3826" w:type="dxa"/>
          </w:tcPr>
          <w:p w14:paraId="654B28A3" w14:textId="77777777" w:rsidR="00063641" w:rsidRPr="00063641" w:rsidRDefault="00063641" w:rsidP="00063641">
            <w:pPr>
              <w:tabs>
                <w:tab w:val="num" w:pos="2880"/>
              </w:tabs>
              <w:spacing w:before="6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Odsetki bankowe od przekazanych Beneficjentowi transz dofinansowania podlegają zwrotowi, o ile przepisy odrębne nie stanowią inaczej.</w:t>
            </w:r>
          </w:p>
          <w:p w14:paraId="0F62EDB4" w14:textId="77777777" w:rsidR="00063641" w:rsidRPr="00063641" w:rsidRDefault="00063641" w:rsidP="00063641">
            <w:pPr>
              <w:spacing w:before="6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</w:tcPr>
          <w:p w14:paraId="6145C8DD" w14:textId="77777777" w:rsidR="00063641" w:rsidRPr="00063641" w:rsidRDefault="00063641" w:rsidP="00063641">
            <w:pPr>
              <w:tabs>
                <w:tab w:val="num" w:pos="2880"/>
              </w:tabs>
              <w:spacing w:before="6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Odsetki bankowe od przekazanych Beneficjentowi transz dofinansowania podlegają zwrotowi </w:t>
            </w:r>
            <w:r w:rsidRPr="00063641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po zakończeniu realizacji Projektu w terminie zgodnym z terminem wskazanym w § 10 ust. 7 oraz na każde </w:t>
            </w:r>
            <w:r w:rsidRPr="00063641">
              <w:rPr>
                <w:rFonts w:eastAsia="Times New Roman" w:cs="Arial"/>
                <w:b/>
                <w:sz w:val="20"/>
                <w:szCs w:val="20"/>
                <w:lang w:eastAsia="pl-PL"/>
              </w:rPr>
              <w:lastRenderedPageBreak/>
              <w:t>wezwanie Instytucji Pośredniczącej,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 o ile przepisy odrębne nie stanowią inaczej.</w:t>
            </w:r>
          </w:p>
          <w:p w14:paraId="4D37A226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676" w:type="dxa"/>
          </w:tcPr>
          <w:p w14:paraId="6A5459CE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lastRenderedPageBreak/>
              <w:t>Doprecyzowano zapis – wskazano termin zwrotu odsetek bankowych.</w:t>
            </w:r>
          </w:p>
        </w:tc>
      </w:tr>
      <w:tr w:rsidR="00063641" w:rsidRPr="00063641" w14:paraId="4804EE3D" w14:textId="77777777" w:rsidTr="00063641">
        <w:tc>
          <w:tcPr>
            <w:tcW w:w="711" w:type="dxa"/>
            <w:vAlign w:val="center"/>
          </w:tcPr>
          <w:p w14:paraId="20C8D1B4" w14:textId="77777777" w:rsidR="00063641" w:rsidRPr="00063641" w:rsidRDefault="00063641" w:rsidP="00063641">
            <w:pPr>
              <w:widowControl w:val="0"/>
              <w:numPr>
                <w:ilvl w:val="0"/>
                <w:numId w:val="32"/>
              </w:numPr>
              <w:adjustRightInd w:val="0"/>
              <w:spacing w:after="0"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14:paraId="53219FC9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>§ 8 ust. 9</w:t>
            </w:r>
          </w:p>
        </w:tc>
        <w:tc>
          <w:tcPr>
            <w:tcW w:w="3826" w:type="dxa"/>
          </w:tcPr>
          <w:p w14:paraId="4BFBC11A" w14:textId="77777777" w:rsidR="00063641" w:rsidRPr="00063641" w:rsidRDefault="00063641" w:rsidP="00063641">
            <w:pPr>
              <w:tabs>
                <w:tab w:val="num" w:pos="2880"/>
              </w:tabs>
              <w:spacing w:before="6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Beneficjent przekazuje informację na temat zwrotu odsetek, o których mowa w ust. 8, w terminie … </w:t>
            </w:r>
            <w:r w:rsidRPr="00063641">
              <w:rPr>
                <w:rFonts w:eastAsia="Times New Roman" w:cs="Arial"/>
                <w:sz w:val="20"/>
                <w:szCs w:val="20"/>
                <w:vertAlign w:val="superscript"/>
                <w:lang w:eastAsia="pl-PL"/>
              </w:rPr>
              <w:t>15) 16)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 i zgodnie ze wzorem określonym przez Instytucję Pośredniczącą. </w:t>
            </w:r>
          </w:p>
          <w:p w14:paraId="142BEF8B" w14:textId="77777777" w:rsidR="00063641" w:rsidRPr="00063641" w:rsidRDefault="00063641" w:rsidP="00063641">
            <w:pPr>
              <w:tabs>
                <w:tab w:val="num" w:pos="2880"/>
              </w:tabs>
              <w:spacing w:before="6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74916CF4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vertAlign w:val="superscript"/>
                <w:lang w:eastAsia="pl-PL"/>
              </w:rPr>
              <w:t>15)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 Należy określić termin na przekazanie informacji nt. zwrotu odsetek bankowych. </w:t>
            </w:r>
          </w:p>
          <w:p w14:paraId="0A0DB518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vertAlign w:val="superscript"/>
                <w:lang w:eastAsia="pl-PL"/>
              </w:rPr>
              <w:t xml:space="preserve">16) 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Jeśli dotyczy.</w:t>
            </w:r>
          </w:p>
          <w:p w14:paraId="4AE91549" w14:textId="77777777" w:rsidR="00063641" w:rsidRPr="00063641" w:rsidRDefault="00063641" w:rsidP="00063641">
            <w:pPr>
              <w:spacing w:before="6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</w:tcPr>
          <w:p w14:paraId="6AE27ADE" w14:textId="77777777" w:rsidR="00063641" w:rsidRPr="00063641" w:rsidRDefault="00063641" w:rsidP="00063641">
            <w:pPr>
              <w:tabs>
                <w:tab w:val="num" w:pos="2880"/>
              </w:tabs>
              <w:spacing w:before="60"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Beneficjent przekazuje informację na temat </w:t>
            </w:r>
            <w:r w:rsidRPr="00063641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wysokości 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i zwrotu odsetek, o których mowa w ust. 8, </w:t>
            </w:r>
            <w:r w:rsidRPr="00063641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we wnioskach o płatność, w terminach wskazanych w § 10 ust. 2 oraz na każde wezwanie Instytucji Pośredniczącej. </w:t>
            </w:r>
          </w:p>
          <w:p w14:paraId="0D907F54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676" w:type="dxa"/>
          </w:tcPr>
          <w:p w14:paraId="7B71638C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Doprecyzowano zapis  dotyczący sposobu przekazywania informacji 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na temat wysokości i zwrotu odsetek</w:t>
            </w: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 do IP. </w:t>
            </w:r>
          </w:p>
        </w:tc>
      </w:tr>
      <w:tr w:rsidR="00063641" w:rsidRPr="00063641" w14:paraId="19CFDF1D" w14:textId="77777777" w:rsidTr="00063641">
        <w:tc>
          <w:tcPr>
            <w:tcW w:w="711" w:type="dxa"/>
            <w:vAlign w:val="center"/>
          </w:tcPr>
          <w:p w14:paraId="00348816" w14:textId="77777777" w:rsidR="00063641" w:rsidRPr="00063641" w:rsidRDefault="00063641" w:rsidP="00063641">
            <w:pPr>
              <w:widowControl w:val="0"/>
              <w:numPr>
                <w:ilvl w:val="0"/>
                <w:numId w:val="32"/>
              </w:numPr>
              <w:adjustRightInd w:val="0"/>
              <w:spacing w:after="0"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14:paraId="7A555302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§ 9 ust. 1 pkt 2 </w:t>
            </w:r>
          </w:p>
          <w:p w14:paraId="365E7B93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proofErr w:type="spellStart"/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>ppkt</w:t>
            </w:r>
            <w:proofErr w:type="spellEnd"/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 a i b </w:t>
            </w:r>
          </w:p>
        </w:tc>
        <w:tc>
          <w:tcPr>
            <w:tcW w:w="3826" w:type="dxa"/>
          </w:tcPr>
          <w:p w14:paraId="61B78467" w14:textId="77777777" w:rsidR="00063641" w:rsidRPr="00063641" w:rsidRDefault="00063641" w:rsidP="00063641">
            <w:pPr>
              <w:widowControl w:val="0"/>
              <w:numPr>
                <w:ilvl w:val="2"/>
                <w:numId w:val="29"/>
              </w:numPr>
              <w:tabs>
                <w:tab w:val="left" w:pos="142"/>
                <w:tab w:val="num" w:pos="317"/>
              </w:tabs>
              <w:adjustRightInd w:val="0"/>
              <w:spacing w:before="60" w:after="0" w:line="240" w:lineRule="auto"/>
              <w:ind w:left="317" w:hanging="141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złożeniu i zweryfikowaniu wniosku rozliczającego </w:t>
            </w:r>
            <w:r w:rsidRPr="00063641">
              <w:rPr>
                <w:rFonts w:eastAsia="Times New Roman" w:cs="Arial"/>
                <w:b/>
                <w:sz w:val="20"/>
                <w:szCs w:val="20"/>
                <w:lang w:eastAsia="pl-PL"/>
              </w:rPr>
              <w:t>wcześniejszą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 transzę dofinansowania (n) przez Instytucję Pośredniczącą zgodnie z § 10 ust. 2, w którym wykazano wydatki kwalifikowalne rozliczające co najmniej 70% łącznej kwoty otrzymanych transz dofinansowania, z zastrzeżeniem, że nie stwierdzono okoliczności, o których mowa w § 31 ust. 1</w:t>
            </w:r>
          </w:p>
          <w:p w14:paraId="585F40A1" w14:textId="77777777" w:rsidR="00063641" w:rsidRPr="00063641" w:rsidRDefault="00063641" w:rsidP="00063641">
            <w:pPr>
              <w:widowControl w:val="0"/>
              <w:tabs>
                <w:tab w:val="left" w:pos="142"/>
                <w:tab w:val="num" w:pos="317"/>
              </w:tabs>
              <w:adjustRightInd w:val="0"/>
              <w:spacing w:before="60" w:after="0" w:line="240" w:lineRule="auto"/>
              <w:ind w:left="317" w:hanging="141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oraz</w:t>
            </w:r>
          </w:p>
          <w:p w14:paraId="593F38D4" w14:textId="77777777" w:rsidR="00063641" w:rsidRPr="00063641" w:rsidRDefault="00063641" w:rsidP="00063641">
            <w:pPr>
              <w:widowControl w:val="0"/>
              <w:numPr>
                <w:ilvl w:val="2"/>
                <w:numId w:val="29"/>
              </w:numPr>
              <w:tabs>
                <w:tab w:val="left" w:pos="142"/>
                <w:tab w:val="num" w:pos="317"/>
              </w:tabs>
              <w:adjustRightInd w:val="0"/>
              <w:spacing w:before="60" w:after="0" w:line="240" w:lineRule="auto"/>
              <w:ind w:left="317" w:hanging="141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zatwierdzeniu przez Instytucję Pośredniczącą wniosku rozliczającego </w:t>
            </w:r>
            <w:r w:rsidRPr="00063641">
              <w:rPr>
                <w:rFonts w:eastAsia="Times New Roman" w:cs="Arial"/>
                <w:b/>
                <w:sz w:val="20"/>
                <w:szCs w:val="20"/>
                <w:lang w:eastAsia="pl-PL"/>
              </w:rPr>
              <w:t>poprzednią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 transzę dofinansowania (n-1), zgodnie z § 11 ust. 4.</w:t>
            </w:r>
          </w:p>
          <w:p w14:paraId="6973FCC6" w14:textId="77777777" w:rsidR="00063641" w:rsidRPr="00063641" w:rsidRDefault="00063641" w:rsidP="00063641">
            <w:pPr>
              <w:spacing w:before="6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</w:tcPr>
          <w:p w14:paraId="21B51704" w14:textId="77777777" w:rsidR="00063641" w:rsidRPr="00063641" w:rsidRDefault="00063641" w:rsidP="00063641">
            <w:pPr>
              <w:widowControl w:val="0"/>
              <w:numPr>
                <w:ilvl w:val="0"/>
                <w:numId w:val="30"/>
              </w:numPr>
              <w:tabs>
                <w:tab w:val="left" w:pos="142"/>
                <w:tab w:val="num" w:pos="459"/>
              </w:tabs>
              <w:adjustRightInd w:val="0"/>
              <w:spacing w:before="60" w:after="0" w:line="240" w:lineRule="auto"/>
              <w:ind w:left="318" w:hanging="284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złożeniu i zweryfikowaniu wniosku o płatność rozliczającego </w:t>
            </w:r>
            <w:r w:rsidRPr="00063641">
              <w:rPr>
                <w:rFonts w:eastAsia="Times New Roman" w:cs="Arial"/>
                <w:b/>
                <w:sz w:val="20"/>
                <w:szCs w:val="20"/>
                <w:lang w:eastAsia="pl-PL"/>
              </w:rPr>
              <w:t>ostatnią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  transzę dofinansowania (n) przez Instytucję Pośredniczącą zgodnie z § 10 ust. 2, w którym wykazano wydatki kwalifikowalne rozliczające, co najmniej 70% łącznej kwoty otrzymanych transz dofinansowania, z zastrzeżeniem, że nie stwierdzono okoliczności, o których mowa w § 31 ust. 1.</w:t>
            </w:r>
            <w:r w:rsidRPr="00063641">
              <w:rPr>
                <w:rFonts w:eastAsia="Times New Roman" w:cs="Arial"/>
                <w:sz w:val="20"/>
                <w:szCs w:val="20"/>
                <w:vertAlign w:val="superscript"/>
                <w:lang w:eastAsia="pl-PL"/>
              </w:rPr>
              <w:t>15)</w:t>
            </w:r>
          </w:p>
          <w:p w14:paraId="3B40BB30" w14:textId="77777777" w:rsidR="00063641" w:rsidRPr="00063641" w:rsidRDefault="00063641" w:rsidP="00063641">
            <w:pPr>
              <w:widowControl w:val="0"/>
              <w:tabs>
                <w:tab w:val="left" w:pos="142"/>
              </w:tabs>
              <w:adjustRightInd w:val="0"/>
              <w:spacing w:before="60" w:after="0" w:line="240" w:lineRule="auto"/>
              <w:ind w:left="577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oraz</w:t>
            </w:r>
          </w:p>
          <w:p w14:paraId="3D59E5E6" w14:textId="77777777" w:rsidR="00063641" w:rsidRPr="00063641" w:rsidRDefault="00063641" w:rsidP="00063641">
            <w:pPr>
              <w:widowControl w:val="0"/>
              <w:numPr>
                <w:ilvl w:val="0"/>
                <w:numId w:val="30"/>
              </w:numPr>
              <w:tabs>
                <w:tab w:val="left" w:pos="142"/>
                <w:tab w:val="num" w:pos="459"/>
              </w:tabs>
              <w:adjustRightInd w:val="0"/>
              <w:spacing w:before="60" w:after="0" w:line="240" w:lineRule="auto"/>
              <w:ind w:left="318" w:hanging="284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zatwierdzeniu przez Instytucję Pośredniczącą wniosku o płatność rozliczającego </w:t>
            </w:r>
            <w:r w:rsidRPr="00063641">
              <w:rPr>
                <w:rFonts w:eastAsia="Times New Roman" w:cs="Arial"/>
                <w:b/>
                <w:sz w:val="20"/>
                <w:szCs w:val="20"/>
                <w:lang w:eastAsia="pl-PL"/>
              </w:rPr>
              <w:t>przedostatnią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 transzę dofinansowania (n-1), zgodnie z § 11 ust. 4.</w:t>
            </w:r>
          </w:p>
          <w:p w14:paraId="3CD56AA4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6268F75C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6FE65FD5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vertAlign w:val="superscript"/>
                <w:lang w:eastAsia="pl-PL"/>
              </w:rPr>
              <w:lastRenderedPageBreak/>
              <w:t xml:space="preserve">15) 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Do obliczenia procentu rozliczenia wlicza się również środki zwrócone przez Beneficjenta do końca okresu rozliczeniowego.</w:t>
            </w:r>
          </w:p>
        </w:tc>
        <w:tc>
          <w:tcPr>
            <w:tcW w:w="4676" w:type="dxa"/>
          </w:tcPr>
          <w:p w14:paraId="73F75F4B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lastRenderedPageBreak/>
              <w:t xml:space="preserve">Doprecyzowanie zapisów poprzez zmianę nazewnictwa transz w celu ułatwienia ich definiowania. </w:t>
            </w:r>
          </w:p>
          <w:p w14:paraId="740FB641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Zgodnie z rozporządzeniem Ministra Rozwoju Regionalnego </w:t>
            </w:r>
            <w:r w:rsidRPr="00063641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w sprawie warunków i trybu udzielania i rozliczania zaliczek oraz zakresu i terminów składania wniosków o płatność w ramach programów finansowanych z udziałem środków europejskich</w:t>
            </w:r>
            <w:r w:rsidRPr="00063641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zwrot niewykorzystanych środków należy traktować, jako rozliczenie zaliczki. Wobec powyższego dodano przypis mówiący o uwzględnianiu przy wyliczaniu procentu rozliczenia zaliczki środków zwróconych przez Beneficjenta.</w:t>
            </w:r>
          </w:p>
        </w:tc>
      </w:tr>
      <w:tr w:rsidR="00063641" w:rsidRPr="00063641" w14:paraId="601C0D31" w14:textId="77777777" w:rsidTr="00063641">
        <w:tc>
          <w:tcPr>
            <w:tcW w:w="711" w:type="dxa"/>
            <w:vAlign w:val="center"/>
          </w:tcPr>
          <w:p w14:paraId="56AF2CFB" w14:textId="77777777" w:rsidR="00063641" w:rsidRPr="00063641" w:rsidRDefault="00063641" w:rsidP="00063641">
            <w:pPr>
              <w:widowControl w:val="0"/>
              <w:numPr>
                <w:ilvl w:val="0"/>
                <w:numId w:val="32"/>
              </w:numPr>
              <w:adjustRightInd w:val="0"/>
              <w:spacing w:after="0"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14:paraId="195D8409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§ 9 ust. 3 </w:t>
            </w:r>
          </w:p>
        </w:tc>
        <w:tc>
          <w:tcPr>
            <w:tcW w:w="3826" w:type="dxa"/>
          </w:tcPr>
          <w:p w14:paraId="339F017F" w14:textId="77777777" w:rsidR="00063641" w:rsidRPr="00063641" w:rsidRDefault="00063641" w:rsidP="00063641">
            <w:pPr>
              <w:spacing w:before="6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W przypadku niemożliwości dokonania wypłaty transzy dofinansowania spowodowanej okresowym brakiem środków, </w:t>
            </w:r>
            <w:r w:rsidRPr="00063641">
              <w:rPr>
                <w:rFonts w:eastAsia="Times New Roman" w:cs="Arial"/>
                <w:b/>
                <w:sz w:val="20"/>
                <w:szCs w:val="20"/>
                <w:lang w:eastAsia="pl-PL"/>
              </w:rPr>
              <w:t>o których mowa w § 2 ust. 1 pkt 1 i 2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, Beneficjent ma prawo renegocjować harmonogram realizacji Projektu i harmonogram płatności, o których mowa odpowiednio w § 6 ust. 3 pkt. 2 i § 8 ust. 1</w:t>
            </w:r>
          </w:p>
        </w:tc>
        <w:tc>
          <w:tcPr>
            <w:tcW w:w="4112" w:type="dxa"/>
          </w:tcPr>
          <w:p w14:paraId="76092FC3" w14:textId="77777777" w:rsidR="00063641" w:rsidRPr="00063641" w:rsidRDefault="00063641" w:rsidP="00063641">
            <w:pPr>
              <w:tabs>
                <w:tab w:val="left" w:pos="142"/>
              </w:tabs>
              <w:spacing w:before="6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W przypadku niemożliwości dokonania wypłaty transzy dofinansowania spowodowanej okresowym brakiem środków, Beneficjent ma prawo renegocjować harmonogram realizacji Projektu i harmonogram płatności, o których mowa odpowiednio w § 6 ust. 3 pkt. 2 i § 8 ust. 1.</w:t>
            </w:r>
          </w:p>
          <w:p w14:paraId="597A48BE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676" w:type="dxa"/>
          </w:tcPr>
          <w:p w14:paraId="4345996F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Usunięto odwołanie się do 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§ 2 ust. 1 pkt 1 i 2 - brak konieczności odwołania.</w:t>
            </w:r>
          </w:p>
        </w:tc>
      </w:tr>
      <w:tr w:rsidR="00063641" w:rsidRPr="00063641" w14:paraId="2A4ABEEE" w14:textId="77777777" w:rsidTr="00063641">
        <w:tc>
          <w:tcPr>
            <w:tcW w:w="711" w:type="dxa"/>
            <w:vAlign w:val="center"/>
          </w:tcPr>
          <w:p w14:paraId="2F32F0C9" w14:textId="77777777" w:rsidR="00063641" w:rsidRPr="00063641" w:rsidRDefault="00063641" w:rsidP="00063641">
            <w:pPr>
              <w:widowControl w:val="0"/>
              <w:numPr>
                <w:ilvl w:val="0"/>
                <w:numId w:val="32"/>
              </w:numPr>
              <w:adjustRightInd w:val="0"/>
              <w:spacing w:after="0"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14:paraId="504C1CA5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§ 10 ust. 7 </w:t>
            </w:r>
          </w:p>
        </w:tc>
        <w:tc>
          <w:tcPr>
            <w:tcW w:w="3826" w:type="dxa"/>
          </w:tcPr>
          <w:p w14:paraId="12F3C6AD" w14:textId="77777777" w:rsidR="00063641" w:rsidRPr="00063641" w:rsidRDefault="00063641" w:rsidP="00063641">
            <w:pPr>
              <w:spacing w:before="6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Beneficjent jest zobowiązany do rozliczenia całości otrzymanego dofinansowania, przekazanego kolejnymi transzami zaliczek, w końcowym wniosku o płatność składanym 30 dni kalendarzowych od dnia zakończenia okresu realizacji Projektu. W przypadku, gdy z rozliczenia wynika, że przekazane środki dofinansowania nie zostały w całości wykorzystane na wydatki kwalifikowalne, Beneficjent zwraca tę część dofinansowania w terminie nie późniejszym niż w dniu złożenia Wniosku o płatność końcową.</w:t>
            </w:r>
          </w:p>
        </w:tc>
        <w:tc>
          <w:tcPr>
            <w:tcW w:w="4112" w:type="dxa"/>
          </w:tcPr>
          <w:p w14:paraId="2D19A16E" w14:textId="77777777" w:rsidR="00063641" w:rsidRPr="00063641" w:rsidRDefault="00063641" w:rsidP="00063641">
            <w:pPr>
              <w:spacing w:before="6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Beneficjent jest zobowiązany do rozliczenia całości otrzymanego dofinansowania, przekazanego kolejnymi transzami zaliczek, w końcowym wniosku o płatność składanym </w:t>
            </w:r>
            <w:r w:rsidRPr="00063641">
              <w:rPr>
                <w:rFonts w:eastAsia="Times New Roman" w:cs="Arial"/>
                <w:b/>
                <w:sz w:val="20"/>
                <w:szCs w:val="20"/>
                <w:lang w:eastAsia="pl-PL"/>
              </w:rPr>
              <w:t>w terminie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 30 dni kalendarzowych od dnia zakończenia okresu realizacji Projektu. W przypadku, gdy z rozliczenia wynika, że przekazane środki dofinansowania nie zostały w całości wykorzystane na wydatki kwalifikowalne, Beneficjent zwraca tę część dofinansowania w terminie nie późniejszym niż w dniu złożenia Wniosku o płatność końcową. </w:t>
            </w:r>
          </w:p>
          <w:p w14:paraId="4B52D6D9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676" w:type="dxa"/>
          </w:tcPr>
          <w:p w14:paraId="44090D29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>Dodano słowo „w terminie”.</w:t>
            </w:r>
          </w:p>
        </w:tc>
      </w:tr>
      <w:tr w:rsidR="00063641" w:rsidRPr="00063641" w14:paraId="3232591D" w14:textId="77777777" w:rsidTr="00063641">
        <w:tc>
          <w:tcPr>
            <w:tcW w:w="711" w:type="dxa"/>
            <w:vAlign w:val="center"/>
          </w:tcPr>
          <w:p w14:paraId="108B6C8F" w14:textId="77777777" w:rsidR="00063641" w:rsidRPr="00063641" w:rsidRDefault="00063641" w:rsidP="00063641">
            <w:pPr>
              <w:widowControl w:val="0"/>
              <w:numPr>
                <w:ilvl w:val="0"/>
                <w:numId w:val="32"/>
              </w:numPr>
              <w:adjustRightInd w:val="0"/>
              <w:spacing w:after="0"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14:paraId="4FD050FC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>§ 11 ust. 2</w:t>
            </w:r>
          </w:p>
        </w:tc>
        <w:tc>
          <w:tcPr>
            <w:tcW w:w="3826" w:type="dxa"/>
          </w:tcPr>
          <w:p w14:paraId="05BFC5BE" w14:textId="77777777" w:rsidR="00063641" w:rsidRPr="00063641" w:rsidRDefault="00063641" w:rsidP="00063641">
            <w:pPr>
              <w:widowControl w:val="0"/>
              <w:adjustRightInd w:val="0"/>
              <w:spacing w:before="6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W przypadku stwierdzenia błędów w złożonym wniosku o płatność, Instytucja Pośrednicząca może dokonać uzupełnienia lub poprawienia wniosku o płatność, o czym informuje Beneficjenta lub wzywa 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Beneficjenta do poprawienia lub uzupełnienia wniosku o płatność lub złożenia dodatkowych wyjaśnień w wyznaczonym terminie, w szczególności Instytucja Pośrednicząca może wezwać Beneficjenta do złożenia lub przesłania w systemie SL2014 kopii poświadczonych za zgodność z oryginałem dokumentów księgowych dotyczących Projektu.</w:t>
            </w:r>
          </w:p>
          <w:p w14:paraId="2911B69C" w14:textId="77777777" w:rsidR="00063641" w:rsidRPr="00063641" w:rsidRDefault="00063641" w:rsidP="00063641">
            <w:pPr>
              <w:spacing w:before="6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</w:tcPr>
          <w:p w14:paraId="27973512" w14:textId="77777777" w:rsidR="00063641" w:rsidRPr="00063641" w:rsidRDefault="00063641" w:rsidP="00063641">
            <w:pPr>
              <w:widowControl w:val="0"/>
              <w:adjustRightInd w:val="0"/>
              <w:spacing w:before="6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 xml:space="preserve">W przypadku stwierdzenia błędów w złożonym wniosku o płatność, Instytucja Pośrednicząca może dokonać uzupełnienia lub poprawienia wniosku o płatność, o czym informuje Beneficjenta lub wzywa Beneficjenta do 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poprawienia lub uzupełnienia wniosku o płatność lub złożenia dodatkowych wyjaśnień w wyznaczonym terminie, w szczególności Instytucja Pośrednicząca może wezwać Beneficjenta do złożenia lub przesłania w systemie SL2014 skanów oryginałów</w:t>
            </w:r>
            <w:r w:rsidRPr="00063641">
              <w:rPr>
                <w:rFonts w:eastAsia="Times New Roman" w:cs="Arial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dokumentów księgowych dotyczących Projektu.</w:t>
            </w:r>
          </w:p>
          <w:p w14:paraId="6EDBC86E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676" w:type="dxa"/>
          </w:tcPr>
          <w:p w14:paraId="00A51C73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lastRenderedPageBreak/>
              <w:t xml:space="preserve">Zmiana dotyczy przekazania skanów oryginałów dokumentów księgowych zamiast kopii poświadczonych za zgodność z oryginałem. </w:t>
            </w:r>
          </w:p>
          <w:p w14:paraId="59411E40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>Wynika to z formy wprowadzania dokumentów do systemu SL 2014.</w:t>
            </w:r>
          </w:p>
        </w:tc>
      </w:tr>
      <w:tr w:rsidR="00063641" w:rsidRPr="00063641" w14:paraId="775B6788" w14:textId="77777777" w:rsidTr="00063641">
        <w:tc>
          <w:tcPr>
            <w:tcW w:w="711" w:type="dxa"/>
            <w:vAlign w:val="center"/>
          </w:tcPr>
          <w:p w14:paraId="50918700" w14:textId="77777777" w:rsidR="00063641" w:rsidRPr="00063641" w:rsidRDefault="00063641" w:rsidP="00063641">
            <w:pPr>
              <w:widowControl w:val="0"/>
              <w:numPr>
                <w:ilvl w:val="0"/>
                <w:numId w:val="32"/>
              </w:numPr>
              <w:adjustRightInd w:val="0"/>
              <w:spacing w:after="0"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14:paraId="79F4E031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>§ 11 ust. 4 pkt 2</w:t>
            </w:r>
          </w:p>
        </w:tc>
        <w:tc>
          <w:tcPr>
            <w:tcW w:w="3826" w:type="dxa"/>
          </w:tcPr>
          <w:p w14:paraId="4249A5CC" w14:textId="77777777" w:rsidR="00063641" w:rsidRPr="00063641" w:rsidRDefault="00063641" w:rsidP="00063641">
            <w:pPr>
              <w:widowControl w:val="0"/>
              <w:tabs>
                <w:tab w:val="num" w:pos="680"/>
              </w:tabs>
              <w:adjustRightInd w:val="0"/>
              <w:spacing w:before="6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zatwierdzoną kwotę rozliczenia kwoty dofinansowania </w:t>
            </w:r>
            <w:r w:rsidRPr="00063641">
              <w:rPr>
                <w:rFonts w:eastAsia="Times New Roman" w:cs="Arial"/>
                <w:b/>
                <w:sz w:val="20"/>
                <w:szCs w:val="20"/>
                <w:lang w:eastAsia="pl-PL"/>
              </w:rPr>
              <w:t>w podziale na środki, o których mowa w § 2 ust. 1 pkt 1 i 2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063641">
              <w:rPr>
                <w:rFonts w:eastAsia="Times New Roman" w:cs="Arial"/>
                <w:iCs/>
                <w:sz w:val="20"/>
                <w:szCs w:val="20"/>
                <w:lang w:eastAsia="pl-PL"/>
              </w:rPr>
              <w:t>oraz</w:t>
            </w:r>
            <w:r w:rsidRPr="00063641"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063641">
              <w:rPr>
                <w:rFonts w:eastAsia="Times New Roman" w:cs="Arial"/>
                <w:iCs/>
                <w:sz w:val="20"/>
                <w:szCs w:val="20"/>
                <w:lang w:eastAsia="pl-PL"/>
              </w:rPr>
              <w:t>wkładu własnego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 wynikającą z pomniejszenia kwoty wydatków rozliczanych we wniosku o płatność o wydatki niekwalifikowalne, o których mowa w pkt 1, oraz o dochody, o których mowa w § 12.</w:t>
            </w:r>
          </w:p>
          <w:p w14:paraId="1E6A4F77" w14:textId="77777777" w:rsidR="00063641" w:rsidRPr="00063641" w:rsidRDefault="00063641" w:rsidP="00063641">
            <w:pPr>
              <w:spacing w:before="6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</w:tcPr>
          <w:p w14:paraId="6F773F3A" w14:textId="77777777" w:rsidR="00063641" w:rsidRPr="00063641" w:rsidRDefault="00063641" w:rsidP="00063641">
            <w:pPr>
              <w:widowControl w:val="0"/>
              <w:tabs>
                <w:tab w:val="num" w:pos="680"/>
              </w:tabs>
              <w:adjustRightInd w:val="0"/>
              <w:spacing w:before="6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zatwierdzoną kwotę rozliczenia kwoty dofinansowania </w:t>
            </w:r>
            <w:r w:rsidRPr="00063641">
              <w:rPr>
                <w:rFonts w:eastAsia="Times New Roman" w:cs="Arial"/>
                <w:iCs/>
                <w:sz w:val="20"/>
                <w:szCs w:val="20"/>
                <w:lang w:eastAsia="pl-PL"/>
              </w:rPr>
              <w:t>oraz</w:t>
            </w:r>
            <w:r w:rsidRPr="00063641"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063641">
              <w:rPr>
                <w:rFonts w:eastAsia="Times New Roman" w:cs="Arial"/>
                <w:iCs/>
                <w:sz w:val="20"/>
                <w:szCs w:val="20"/>
                <w:lang w:eastAsia="pl-PL"/>
              </w:rPr>
              <w:t>wkładu własnego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 wynikającą z pomniejszenia kwoty wydatków rozliczanych we wniosku o płatność o wydatki niekwalifikowalne, o których mowa w pkt 1, oraz o dochody, o których mowa w § 12.</w:t>
            </w:r>
          </w:p>
          <w:p w14:paraId="4CC17A59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76" w:type="dxa"/>
          </w:tcPr>
          <w:p w14:paraId="357F7FED" w14:textId="21241C03" w:rsidR="00063641" w:rsidRPr="00063641" w:rsidRDefault="00063641" w:rsidP="00AE40C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Usunięto z uwagi na fakt, że dofinansowanie nie zawsze pochodzi z dotacji celowej.</w:t>
            </w:r>
          </w:p>
        </w:tc>
      </w:tr>
      <w:tr w:rsidR="00063641" w:rsidRPr="00063641" w14:paraId="3278B779" w14:textId="77777777" w:rsidTr="00063641">
        <w:tc>
          <w:tcPr>
            <w:tcW w:w="711" w:type="dxa"/>
            <w:vAlign w:val="center"/>
          </w:tcPr>
          <w:p w14:paraId="089FD4B4" w14:textId="77777777" w:rsidR="00063641" w:rsidRPr="00063641" w:rsidRDefault="00063641" w:rsidP="00063641">
            <w:pPr>
              <w:widowControl w:val="0"/>
              <w:numPr>
                <w:ilvl w:val="0"/>
                <w:numId w:val="32"/>
              </w:numPr>
              <w:adjustRightInd w:val="0"/>
              <w:spacing w:after="0"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14:paraId="76AFC073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>§ 17 ust. 1 przypis nr 27</w:t>
            </w:r>
          </w:p>
        </w:tc>
        <w:tc>
          <w:tcPr>
            <w:tcW w:w="3826" w:type="dxa"/>
          </w:tcPr>
          <w:p w14:paraId="4F76EB6B" w14:textId="77777777" w:rsidR="00063641" w:rsidRPr="00063641" w:rsidRDefault="00063641" w:rsidP="00063641">
            <w:pPr>
              <w:spacing w:before="6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W przypadku gdy wartość dofinansowania Projektu przekracza limit określony w rozporządzeniu Ministra Rozwoju Regionalnego </w:t>
            </w:r>
            <w:r w:rsidRPr="00063641">
              <w:rPr>
                <w:rFonts w:eastAsia="Times New Roman" w:cs="Arial"/>
                <w:b/>
                <w:sz w:val="20"/>
                <w:szCs w:val="20"/>
                <w:lang w:eastAsia="pl-PL"/>
              </w:rPr>
              <w:t>wydanym na podstawie art. 189 ust. 4 ustawy z dnia 27 sierpnia 2009 r. o finansach publicznych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, stosuje się odpowiednio przepisy ww. rozporządzenia.</w:t>
            </w:r>
          </w:p>
        </w:tc>
        <w:tc>
          <w:tcPr>
            <w:tcW w:w="4112" w:type="dxa"/>
          </w:tcPr>
          <w:p w14:paraId="20325A97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ind w:left="142" w:hanging="142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W przypadku gdy wartość dofinansowania Projektu przekracza limit określony w rozporządzeniu Ministra Rozwoju Regionalnego </w:t>
            </w:r>
            <w:r w:rsidRPr="00063641">
              <w:rPr>
                <w:rFonts w:eastAsia="Times New Roman" w:cs="Arial"/>
                <w:b/>
                <w:sz w:val="20"/>
                <w:szCs w:val="20"/>
                <w:lang w:eastAsia="pl-PL"/>
              </w:rPr>
              <w:t>z dnia18 grudnia 2009 r. w sprawie warunków i trybu udzielania i rozliczania zaliczek oraz zakresu i terminów składania wniosków o płatność w ramach programów finansowanych z udziałem środków europejskich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, stosuje się 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odpowiednio przepisy ww. rozporządzenia.</w:t>
            </w:r>
          </w:p>
          <w:p w14:paraId="46CA09DA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676" w:type="dxa"/>
          </w:tcPr>
          <w:p w14:paraId="4FE8D679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lastRenderedPageBreak/>
              <w:t xml:space="preserve">Powołanie się bezpośrednio na obowiązujące Rozporządzenie wydane na podstawie ustawy o finansach publicznych. </w:t>
            </w:r>
          </w:p>
        </w:tc>
      </w:tr>
      <w:tr w:rsidR="00063641" w:rsidRPr="00063641" w14:paraId="104E2E51" w14:textId="77777777" w:rsidTr="00063641">
        <w:tc>
          <w:tcPr>
            <w:tcW w:w="711" w:type="dxa"/>
            <w:vAlign w:val="center"/>
          </w:tcPr>
          <w:p w14:paraId="5C237CCA" w14:textId="77777777" w:rsidR="00063641" w:rsidRPr="00063641" w:rsidRDefault="00063641" w:rsidP="00063641">
            <w:pPr>
              <w:widowControl w:val="0"/>
              <w:numPr>
                <w:ilvl w:val="0"/>
                <w:numId w:val="32"/>
              </w:numPr>
              <w:adjustRightInd w:val="0"/>
              <w:spacing w:after="0"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14:paraId="5877376F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§ 17 </w:t>
            </w:r>
          </w:p>
          <w:p w14:paraId="7096864C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>ust. 2 i ust. 3</w:t>
            </w:r>
          </w:p>
        </w:tc>
        <w:tc>
          <w:tcPr>
            <w:tcW w:w="3826" w:type="dxa"/>
          </w:tcPr>
          <w:p w14:paraId="59AAFDCE" w14:textId="77777777" w:rsidR="00063641" w:rsidRPr="00063641" w:rsidRDefault="00063641" w:rsidP="00063641">
            <w:pPr>
              <w:widowControl w:val="0"/>
              <w:numPr>
                <w:ilvl w:val="0"/>
                <w:numId w:val="29"/>
              </w:numPr>
              <w:tabs>
                <w:tab w:val="clear" w:pos="360"/>
                <w:tab w:val="num" w:pos="317"/>
              </w:tabs>
              <w:adjustRightInd w:val="0"/>
              <w:spacing w:before="60" w:after="0"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Zabezpieczenie ustanawiane jest w formie weksla in blanco wraz z deklaracją wekslową, w przypadku gdy:</w:t>
            </w:r>
          </w:p>
          <w:p w14:paraId="0FD7ACC5" w14:textId="77777777" w:rsidR="00063641" w:rsidRPr="00063641" w:rsidRDefault="00063641" w:rsidP="00063641">
            <w:pPr>
              <w:widowControl w:val="0"/>
              <w:numPr>
                <w:ilvl w:val="1"/>
                <w:numId w:val="28"/>
              </w:numPr>
              <w:tabs>
                <w:tab w:val="num" w:pos="284"/>
              </w:tabs>
              <w:adjustRightInd w:val="0"/>
              <w:spacing w:before="60" w:after="0" w:line="240" w:lineRule="auto"/>
              <w:ind w:left="284" w:firstLine="142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wartość zaliczki nie przekracza  10 000 000 PLN lub </w:t>
            </w:r>
          </w:p>
          <w:p w14:paraId="600BA861" w14:textId="77777777" w:rsidR="00063641" w:rsidRPr="00063641" w:rsidRDefault="00063641" w:rsidP="00063641">
            <w:pPr>
              <w:widowControl w:val="0"/>
              <w:numPr>
                <w:ilvl w:val="1"/>
                <w:numId w:val="28"/>
              </w:numPr>
              <w:tabs>
                <w:tab w:val="num" w:pos="567"/>
                <w:tab w:val="left" w:pos="709"/>
              </w:tabs>
              <w:adjustRightInd w:val="0"/>
              <w:spacing w:before="60" w:after="0" w:line="240" w:lineRule="auto"/>
              <w:ind w:left="709" w:hanging="283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Beneficjent jest podmiotem świadczącym usługi publiczne lub usługi w ogólnym interesie gospodarczym, o którym mowa w art. 93 i art. 106 ust.2 Traktatu o funkcjonowaniu Unii Europejskiej, lub jest instytutem badawczym w rozumieniu ustawy z dnia 30 kwietnia 2010 r. o instytutach badawczych (Dz. U. z 2016 r. poz. 371, z późn. zm.).</w:t>
            </w:r>
          </w:p>
          <w:p w14:paraId="3A476E86" w14:textId="77777777" w:rsidR="00063641" w:rsidRPr="00063641" w:rsidRDefault="00063641" w:rsidP="00063641">
            <w:pPr>
              <w:widowControl w:val="0"/>
              <w:numPr>
                <w:ilvl w:val="0"/>
                <w:numId w:val="29"/>
              </w:numPr>
              <w:adjustRightInd w:val="0"/>
              <w:spacing w:before="60" w:after="0" w:line="240" w:lineRule="auto"/>
              <w:ind w:left="284" w:hanging="284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W przypadku gdy wartość zaliczki przekracza 10 000 000 PLN, zabezpieczenie, ustanawiane jest w wysokości co najmniej równowartości najwyższej transzy zaliczki wynikającej z harmonogramu płatności, w jednej lub kilku następujących form wybranych przez instytucje, z którą Beneficjent zawarł umowę o dofinansowanie:</w:t>
            </w:r>
          </w:p>
          <w:p w14:paraId="6167E9FD" w14:textId="77777777" w:rsidR="00063641" w:rsidRPr="00063641" w:rsidRDefault="00063641" w:rsidP="00063641">
            <w:pPr>
              <w:widowControl w:val="0"/>
              <w:numPr>
                <w:ilvl w:val="1"/>
                <w:numId w:val="27"/>
              </w:numPr>
              <w:tabs>
                <w:tab w:val="num" w:pos="426"/>
              </w:tabs>
              <w:adjustRightInd w:val="0"/>
              <w:spacing w:before="60" w:after="0" w:line="240" w:lineRule="auto"/>
              <w:ind w:left="709" w:hanging="284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pieniężnej;</w:t>
            </w:r>
          </w:p>
          <w:p w14:paraId="6A886A8C" w14:textId="77777777" w:rsidR="00063641" w:rsidRPr="00063641" w:rsidRDefault="00063641" w:rsidP="00063641">
            <w:pPr>
              <w:widowControl w:val="0"/>
              <w:numPr>
                <w:ilvl w:val="1"/>
                <w:numId w:val="27"/>
              </w:numPr>
              <w:tabs>
                <w:tab w:val="num" w:pos="709"/>
              </w:tabs>
              <w:adjustRightInd w:val="0"/>
              <w:spacing w:before="60" w:after="0" w:line="240" w:lineRule="auto"/>
              <w:ind w:left="709" w:hanging="284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poręczenia bankowego lub poręczenia spółdzielczej kasy oszczędnościowo-kredytowej, z tym, że zobowiązanie kasy jest zawsze zobowiązaniem pieniężnym;</w:t>
            </w:r>
          </w:p>
          <w:p w14:paraId="0E6C5C52" w14:textId="77777777" w:rsidR="00063641" w:rsidRPr="00063641" w:rsidRDefault="00063641" w:rsidP="00063641">
            <w:pPr>
              <w:widowControl w:val="0"/>
              <w:numPr>
                <w:ilvl w:val="1"/>
                <w:numId w:val="27"/>
              </w:numPr>
              <w:tabs>
                <w:tab w:val="num" w:pos="426"/>
              </w:tabs>
              <w:adjustRightInd w:val="0"/>
              <w:spacing w:before="60" w:after="0" w:line="240" w:lineRule="auto"/>
              <w:ind w:left="709" w:hanging="284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gwarancji bankowej;</w:t>
            </w:r>
          </w:p>
          <w:p w14:paraId="6E1E78FF" w14:textId="77777777" w:rsidR="00063641" w:rsidRPr="00063641" w:rsidRDefault="00063641" w:rsidP="00063641">
            <w:pPr>
              <w:widowControl w:val="0"/>
              <w:numPr>
                <w:ilvl w:val="1"/>
                <w:numId w:val="27"/>
              </w:numPr>
              <w:tabs>
                <w:tab w:val="num" w:pos="426"/>
              </w:tabs>
              <w:adjustRightInd w:val="0"/>
              <w:spacing w:before="60" w:after="0" w:line="240" w:lineRule="auto"/>
              <w:ind w:left="709" w:hanging="284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gwarancji ubezpieczeniowej;</w:t>
            </w:r>
          </w:p>
          <w:p w14:paraId="2214CC38" w14:textId="77777777" w:rsidR="00063641" w:rsidRPr="00063641" w:rsidRDefault="00063641" w:rsidP="00063641">
            <w:pPr>
              <w:widowControl w:val="0"/>
              <w:numPr>
                <w:ilvl w:val="1"/>
                <w:numId w:val="27"/>
              </w:numPr>
              <w:tabs>
                <w:tab w:val="num" w:pos="709"/>
              </w:tabs>
              <w:adjustRightInd w:val="0"/>
              <w:spacing w:before="60" w:after="0" w:line="240" w:lineRule="auto"/>
              <w:ind w:left="709" w:hanging="284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poręczenia o którym mowa w art. 6b ust. 5 pkt 2 ustawy z dnia 9 listopada 2000 r. o utworzeniu Polskiej Agencji Rozwoju Przedsiębiorczości (Dz. U. 2016 r. poz. 359, z późn. zm.);</w:t>
            </w:r>
          </w:p>
          <w:p w14:paraId="12EB444F" w14:textId="77777777" w:rsidR="00063641" w:rsidRPr="00063641" w:rsidRDefault="00063641" w:rsidP="00063641">
            <w:pPr>
              <w:widowControl w:val="0"/>
              <w:numPr>
                <w:ilvl w:val="1"/>
                <w:numId w:val="27"/>
              </w:numPr>
              <w:tabs>
                <w:tab w:val="num" w:pos="426"/>
              </w:tabs>
              <w:adjustRightInd w:val="0"/>
              <w:spacing w:before="60" w:after="0" w:line="240" w:lineRule="auto"/>
              <w:ind w:left="709" w:hanging="284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weksla z poręczeniem wekslowym banku lub spółdzielczej kasy oszczędnościowo-kredytowej;</w:t>
            </w:r>
          </w:p>
          <w:p w14:paraId="66A83482" w14:textId="77777777" w:rsidR="00063641" w:rsidRPr="00063641" w:rsidRDefault="00063641" w:rsidP="00063641">
            <w:pPr>
              <w:widowControl w:val="0"/>
              <w:numPr>
                <w:ilvl w:val="1"/>
                <w:numId w:val="27"/>
              </w:numPr>
              <w:tabs>
                <w:tab w:val="num" w:pos="709"/>
              </w:tabs>
              <w:adjustRightInd w:val="0"/>
              <w:spacing w:before="60" w:after="0" w:line="240" w:lineRule="auto"/>
              <w:ind w:left="709" w:hanging="284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zastawu na papierach wartościowych emitowanych przez Skarb Państwa lub jednostkę samorządu terytorialnego;</w:t>
            </w:r>
          </w:p>
          <w:p w14:paraId="5DF346B3" w14:textId="77777777" w:rsidR="00063641" w:rsidRPr="00063641" w:rsidRDefault="00063641" w:rsidP="00063641">
            <w:pPr>
              <w:widowControl w:val="0"/>
              <w:numPr>
                <w:ilvl w:val="1"/>
                <w:numId w:val="27"/>
              </w:numPr>
              <w:tabs>
                <w:tab w:val="num" w:pos="567"/>
              </w:tabs>
              <w:adjustRightInd w:val="0"/>
              <w:spacing w:before="60" w:after="0" w:line="240" w:lineRule="auto"/>
              <w:ind w:left="709" w:hanging="284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zastawu rejestrowego na zasadach określonych w przepisach o zastawie rejestrowym i rejestrze zastawów; </w:t>
            </w:r>
          </w:p>
          <w:p w14:paraId="58EC3B4F" w14:textId="77777777" w:rsidR="00063641" w:rsidRPr="00063641" w:rsidRDefault="00063641" w:rsidP="00063641">
            <w:pPr>
              <w:widowControl w:val="0"/>
              <w:numPr>
                <w:ilvl w:val="1"/>
                <w:numId w:val="27"/>
              </w:numPr>
              <w:tabs>
                <w:tab w:val="num" w:pos="426"/>
              </w:tabs>
              <w:adjustRightInd w:val="0"/>
              <w:spacing w:before="60" w:after="0" w:line="240" w:lineRule="auto"/>
              <w:ind w:left="709" w:hanging="284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przewłaszczenia rzeczy ruchomych Beneficjenta na zabezpieczenie;</w:t>
            </w:r>
          </w:p>
          <w:p w14:paraId="79AC3052" w14:textId="77777777" w:rsidR="00063641" w:rsidRPr="00063641" w:rsidRDefault="00063641" w:rsidP="00063641">
            <w:pPr>
              <w:widowControl w:val="0"/>
              <w:numPr>
                <w:ilvl w:val="1"/>
                <w:numId w:val="27"/>
              </w:numPr>
              <w:tabs>
                <w:tab w:val="num" w:pos="426"/>
              </w:tabs>
              <w:adjustRightInd w:val="0"/>
              <w:spacing w:before="60" w:after="0" w:line="240" w:lineRule="auto"/>
              <w:ind w:left="709" w:hanging="425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hipoteki;</w:t>
            </w:r>
          </w:p>
          <w:p w14:paraId="5DC6A5D6" w14:textId="77777777" w:rsidR="00063641" w:rsidRPr="00063641" w:rsidRDefault="00063641" w:rsidP="00063641">
            <w:pPr>
              <w:widowControl w:val="0"/>
              <w:numPr>
                <w:ilvl w:val="1"/>
                <w:numId w:val="27"/>
              </w:numPr>
              <w:tabs>
                <w:tab w:val="num" w:pos="426"/>
              </w:tabs>
              <w:adjustRightInd w:val="0"/>
              <w:spacing w:before="60" w:after="0" w:line="240" w:lineRule="auto"/>
              <w:ind w:left="709" w:hanging="425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poręczenia według prawa cywilnego.</w:t>
            </w:r>
          </w:p>
          <w:p w14:paraId="28D4D9E3" w14:textId="77777777" w:rsidR="00063641" w:rsidRPr="00063641" w:rsidRDefault="00063641" w:rsidP="00063641">
            <w:pPr>
              <w:spacing w:before="6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</w:tcPr>
          <w:p w14:paraId="08B79676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-</w:t>
            </w:r>
          </w:p>
        </w:tc>
        <w:tc>
          <w:tcPr>
            <w:tcW w:w="4676" w:type="dxa"/>
          </w:tcPr>
          <w:p w14:paraId="0613DACD" w14:textId="79E8B8EA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>Usunięcie zapisu</w:t>
            </w:r>
            <w:r w:rsidR="00AE40CC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 z uwagi na p</w:t>
            </w: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>owiel</w:t>
            </w:r>
            <w:r w:rsidR="00AE40CC">
              <w:rPr>
                <w:rFonts w:eastAsia="Times New Roman" w:cs="Arial"/>
                <w:bCs/>
                <w:sz w:val="20"/>
                <w:szCs w:val="20"/>
                <w:lang w:eastAsia="pl-PL"/>
              </w:rPr>
              <w:t>a</w:t>
            </w: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nie zapisów 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Rozporządzenia Ministra Rozwoju Regionalnego z dnia 18 grudnia 2009 r. w sprawie warunków i trybu udzielania i rozliczania zaliczek oraz zakresu i terminów składania wniosków o płatność w ramach programów finansowanych z udziałem środków europejskich. </w:t>
            </w:r>
          </w:p>
          <w:p w14:paraId="42BDAB36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>Odwołanie do ww. zapisów znajduje się w</w:t>
            </w:r>
            <w:r w:rsidRPr="0006364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§ 17 </w:t>
            </w:r>
          </w:p>
          <w:p w14:paraId="015E0E10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 ust. 1 w przypisie nr 27</w:t>
            </w:r>
          </w:p>
        </w:tc>
      </w:tr>
      <w:tr w:rsidR="00063641" w:rsidRPr="00063641" w14:paraId="66638DAF" w14:textId="77777777" w:rsidTr="00063641">
        <w:tc>
          <w:tcPr>
            <w:tcW w:w="711" w:type="dxa"/>
            <w:vAlign w:val="center"/>
          </w:tcPr>
          <w:p w14:paraId="22539D3D" w14:textId="77777777" w:rsidR="00063641" w:rsidRPr="00063641" w:rsidRDefault="00063641" w:rsidP="00063641">
            <w:pPr>
              <w:widowControl w:val="0"/>
              <w:numPr>
                <w:ilvl w:val="0"/>
                <w:numId w:val="32"/>
              </w:numPr>
              <w:adjustRightInd w:val="0"/>
              <w:spacing w:after="0"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14:paraId="7CC3FAE5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§ 33 ust 4 </w:t>
            </w:r>
          </w:p>
        </w:tc>
        <w:tc>
          <w:tcPr>
            <w:tcW w:w="3826" w:type="dxa"/>
          </w:tcPr>
          <w:p w14:paraId="057D2190" w14:textId="77777777" w:rsidR="00063641" w:rsidRPr="00063641" w:rsidRDefault="00063641" w:rsidP="00063641">
            <w:pPr>
              <w:suppressAutoHyphens/>
              <w:autoSpaceDN w:val="0"/>
              <w:spacing w:before="12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Beneficjent zobowiązuje się do zachowania trwałości utworzonych w ramach Projektu miejsc świadczenia usług w mieszkaniach wspomaganych po zakończeniu realizacji Projektu, co najmniej przez okres odpowiadający okresowi realizacji Projektu.</w:t>
            </w:r>
          </w:p>
          <w:p w14:paraId="2C7D3EA5" w14:textId="77777777" w:rsidR="00063641" w:rsidRPr="00063641" w:rsidRDefault="00063641" w:rsidP="00063641">
            <w:pPr>
              <w:spacing w:before="6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</w:tcPr>
          <w:p w14:paraId="5BD915A8" w14:textId="77777777" w:rsidR="00063641" w:rsidRPr="00063641" w:rsidRDefault="00063641" w:rsidP="00063641">
            <w:pPr>
              <w:suppressAutoHyphens/>
              <w:autoSpaceDN w:val="0"/>
              <w:spacing w:before="12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Beneficjent zobowiązuje się do zachowania trwałości utworzonych w ramach Projektu miejsc świadczenia usług w </w:t>
            </w:r>
            <w:r w:rsidRPr="00063641">
              <w:rPr>
                <w:rFonts w:eastAsia="Times New Roman" w:cs="Arial"/>
                <w:b/>
                <w:sz w:val="20"/>
                <w:szCs w:val="20"/>
                <w:lang w:eastAsia="pl-PL"/>
              </w:rPr>
              <w:t>mieszkaniach chronionych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 lub mieszkaniach wspomaganych po zakończeniu realizacji Projektu, co najmniej przez okres odpowiadający okresowi realizacji Projektu.</w:t>
            </w:r>
          </w:p>
          <w:p w14:paraId="3220C671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676" w:type="dxa"/>
          </w:tcPr>
          <w:p w14:paraId="2E69B2EC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Wprowadzenie zmiany związane jest z wymogiem wynikającym z „</w:t>
            </w:r>
            <w:r w:rsidRPr="00063641">
              <w:rPr>
                <w:rFonts w:eastAsia="Times New Roman" w:cs="Arial"/>
                <w:i/>
                <w:sz w:val="20"/>
                <w:szCs w:val="20"/>
                <w:lang w:eastAsia="pl-PL"/>
              </w:rPr>
              <w:t>Wytycznych w zakresie realizacji przedsięwzięć w obszarze włączenia społecznego i zwalczania ubóstwa z wykorzystaniem środków Europejskiego Funduszu Społecznego i Europejskiego Funduszu Rozwoju Regionalnego na lata 2014-2020”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, Podrozdział 6.4 pkt. 5, zgodnie z którym IZ RPO powinna zapewnić w umowie o dofinansowanie zawarcie postanowień związanych z trwałością miejsc zarówno w mieszkaniach chronionych jak i mieszkaniach wspomaganych.</w:t>
            </w:r>
          </w:p>
          <w:p w14:paraId="2801C15B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</w:p>
        </w:tc>
      </w:tr>
      <w:tr w:rsidR="00063641" w:rsidRPr="00063641" w14:paraId="76DF9687" w14:textId="77777777" w:rsidTr="00063641">
        <w:tc>
          <w:tcPr>
            <w:tcW w:w="711" w:type="dxa"/>
            <w:vAlign w:val="center"/>
          </w:tcPr>
          <w:p w14:paraId="143F534F" w14:textId="77777777" w:rsidR="00063641" w:rsidRPr="00063641" w:rsidRDefault="00063641" w:rsidP="00063641">
            <w:pPr>
              <w:widowControl w:val="0"/>
              <w:numPr>
                <w:ilvl w:val="0"/>
                <w:numId w:val="32"/>
              </w:numPr>
              <w:adjustRightInd w:val="0"/>
              <w:spacing w:after="0"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14:paraId="5C6BC448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>§ 37 ust. 12</w:t>
            </w:r>
          </w:p>
        </w:tc>
        <w:tc>
          <w:tcPr>
            <w:tcW w:w="3826" w:type="dxa"/>
          </w:tcPr>
          <w:p w14:paraId="2D55DC0B" w14:textId="77777777" w:rsidR="00063641" w:rsidRPr="00063641" w:rsidRDefault="00063641" w:rsidP="00063641">
            <w:pPr>
              <w:spacing w:before="60"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rozporządzenia Ministra Finansów z dnia 21 grudnia 2012 r. w sprawie płatności w ramach programów finansowanych z udziałem środków europejskich oraz przekazywania informacji dotyczących tych płatności (Dz. U. z 2016 r. poz. 75);</w:t>
            </w:r>
          </w:p>
        </w:tc>
        <w:tc>
          <w:tcPr>
            <w:tcW w:w="4112" w:type="dxa"/>
          </w:tcPr>
          <w:p w14:paraId="51E75C53" w14:textId="77777777" w:rsidR="00063641" w:rsidRPr="00063641" w:rsidRDefault="00063641" w:rsidP="00063641">
            <w:pPr>
              <w:suppressAutoHyphens/>
              <w:autoSpaceDN w:val="0"/>
              <w:spacing w:before="12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rozporządzenia Ministra Finansów z dnia 21 grudnia 2012 r. w sprawie płatności w ramach programów finansowanych z udziałem środków europejskich oraz przekazywania informacji dotyczących tych płatności (Dz. U. z 2016 r. poz. 75, z późn. zm.);</w:t>
            </w:r>
          </w:p>
        </w:tc>
        <w:tc>
          <w:tcPr>
            <w:tcW w:w="4676" w:type="dxa"/>
          </w:tcPr>
          <w:p w14:paraId="33CDBD30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Aktualizacja publikatora prawnego.</w:t>
            </w:r>
          </w:p>
        </w:tc>
      </w:tr>
      <w:tr w:rsidR="00063641" w:rsidRPr="00063641" w14:paraId="31F67238" w14:textId="77777777" w:rsidTr="00063641">
        <w:tc>
          <w:tcPr>
            <w:tcW w:w="711" w:type="dxa"/>
            <w:vAlign w:val="center"/>
          </w:tcPr>
          <w:p w14:paraId="7A9EACCE" w14:textId="77777777" w:rsidR="00063641" w:rsidRPr="00063641" w:rsidRDefault="00063641" w:rsidP="00063641">
            <w:pPr>
              <w:widowControl w:val="0"/>
              <w:numPr>
                <w:ilvl w:val="0"/>
                <w:numId w:val="32"/>
              </w:numPr>
              <w:adjustRightInd w:val="0"/>
              <w:spacing w:after="0"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14:paraId="34584D1A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>§ 37 ust. 13</w:t>
            </w:r>
          </w:p>
        </w:tc>
        <w:tc>
          <w:tcPr>
            <w:tcW w:w="3826" w:type="dxa"/>
          </w:tcPr>
          <w:p w14:paraId="3A92B86F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rozporządzenia Ministra Rozwoju z dnia 29 stycznia 2016 r. w sprawie warunków obniżania wartości korekt finansowych oraz wydatków poniesionych nieprawidłowo związanych z udzielaniem zamówień (Dz. U. poz. 200).</w:t>
            </w:r>
          </w:p>
          <w:p w14:paraId="29BA59EF" w14:textId="77777777" w:rsidR="00063641" w:rsidRPr="00063641" w:rsidRDefault="00063641" w:rsidP="00063641">
            <w:pPr>
              <w:spacing w:before="60"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</w:tcPr>
          <w:p w14:paraId="6D18F6F8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rozporządzenia Ministra Rozwoju z dnia 29 stycznia 2016 r. w sprawie warunków obniżania wartości korekt finansowych oraz wydatków poniesionych nieprawidłowo związanych z udzielaniem zamówień (Dz. U. poz. 200, z późn. zm.).</w:t>
            </w:r>
          </w:p>
          <w:p w14:paraId="71C77D6E" w14:textId="77777777" w:rsidR="00063641" w:rsidRPr="00063641" w:rsidRDefault="00063641" w:rsidP="00063641">
            <w:pPr>
              <w:suppressAutoHyphens/>
              <w:autoSpaceDN w:val="0"/>
              <w:spacing w:before="12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676" w:type="dxa"/>
          </w:tcPr>
          <w:p w14:paraId="0D23D030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Aktualizacja publikatora prawnego.</w:t>
            </w:r>
          </w:p>
        </w:tc>
      </w:tr>
      <w:tr w:rsidR="00063641" w:rsidRPr="00063641" w14:paraId="32898D8A" w14:textId="77777777" w:rsidTr="00063641">
        <w:tc>
          <w:tcPr>
            <w:tcW w:w="711" w:type="dxa"/>
            <w:vAlign w:val="center"/>
          </w:tcPr>
          <w:p w14:paraId="56888B56" w14:textId="77777777" w:rsidR="00063641" w:rsidRPr="00063641" w:rsidRDefault="00063641" w:rsidP="00063641">
            <w:pPr>
              <w:widowControl w:val="0"/>
              <w:numPr>
                <w:ilvl w:val="0"/>
                <w:numId w:val="32"/>
              </w:numPr>
              <w:adjustRightInd w:val="0"/>
              <w:spacing w:after="0"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14:paraId="4F563689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>Załącznik nr 10</w:t>
            </w:r>
          </w:p>
        </w:tc>
        <w:tc>
          <w:tcPr>
            <w:tcW w:w="3826" w:type="dxa"/>
          </w:tcPr>
          <w:p w14:paraId="39770CDF" w14:textId="77777777" w:rsidR="00063641" w:rsidRPr="00063641" w:rsidRDefault="00063641" w:rsidP="00063641">
            <w:pPr>
              <w:spacing w:before="60"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</w:tcPr>
          <w:p w14:paraId="27359E74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Usunięto trzy wersje monochromatyczne logotypu  oraz słowo </w:t>
            </w:r>
            <w:r w:rsidRPr="00063641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„monochromatyczne” 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z pkt. </w:t>
            </w:r>
            <w:bookmarkStart w:id="0" w:name="_Toc424215923"/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6.4 pn. „W jakich wersjach kolorystycznych można stosować znaki Fundusze Europejskie i Unia Europejska?</w:t>
            </w:r>
            <w:bookmarkEnd w:id="0"/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4676" w:type="dxa"/>
          </w:tcPr>
          <w:p w14:paraId="4F0CA101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W związku z modyfikacją Księgi identyfikacji wizualnej znaku marki Fundusze Europejskie </w:t>
            </w:r>
            <w:r w:rsidRPr="00063641">
              <w:rPr>
                <w:rFonts w:eastAsia="Times New Roman" w:cs="Arial"/>
                <w:bCs/>
                <w:sz w:val="20"/>
                <w:szCs w:val="20"/>
                <w:lang w:eastAsia="pl-PL"/>
              </w:rPr>
              <w:br/>
              <w:t>i znaków programów polityki spójności na lata 2014-2020.</w:t>
            </w:r>
          </w:p>
        </w:tc>
      </w:tr>
      <w:tr w:rsidR="00063641" w:rsidRPr="00063641" w14:paraId="2D8599D2" w14:textId="77777777" w:rsidTr="00063641">
        <w:tc>
          <w:tcPr>
            <w:tcW w:w="711" w:type="dxa"/>
          </w:tcPr>
          <w:p w14:paraId="6207A95E" w14:textId="77777777" w:rsidR="00063641" w:rsidRPr="00063641" w:rsidRDefault="00063641" w:rsidP="00063641">
            <w:pPr>
              <w:widowControl w:val="0"/>
              <w:numPr>
                <w:ilvl w:val="0"/>
                <w:numId w:val="32"/>
              </w:numPr>
              <w:adjustRightInd w:val="0"/>
              <w:spacing w:after="0"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4316" w:type="dxa"/>
            <w:gridSpan w:val="4"/>
          </w:tcPr>
          <w:p w14:paraId="5AF96ADD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Zmiany redakcyjne wynikające z wprowadzenia zmian do zapisów umowy, zmian numeracji przypisów dolnych, zmiana numeracji paragrafów, ustępów </w:t>
            </w:r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br/>
              <w:t xml:space="preserve">i </w:t>
            </w:r>
            <w:proofErr w:type="spellStart"/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>odwołań</w:t>
            </w:r>
            <w:proofErr w:type="spellEnd"/>
            <w:r w:rsidRPr="00063641">
              <w:rPr>
                <w:rFonts w:eastAsia="Times New Roman" w:cs="Arial"/>
                <w:sz w:val="20"/>
                <w:szCs w:val="20"/>
                <w:lang w:eastAsia="pl-PL"/>
              </w:rPr>
              <w:t xml:space="preserve"> do nich.</w:t>
            </w:r>
          </w:p>
        </w:tc>
      </w:tr>
    </w:tbl>
    <w:p w14:paraId="796AD897" w14:textId="77777777" w:rsidR="00063641" w:rsidRDefault="00063641" w:rsidP="0006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30407C1" w14:textId="77777777" w:rsidR="00AE40CC" w:rsidRDefault="00AE40CC">
      <w:pPr>
        <w:spacing w:after="0" w:line="240" w:lineRule="auto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br w:type="page"/>
      </w:r>
    </w:p>
    <w:p w14:paraId="35634F82" w14:textId="27340B30" w:rsidR="00DA65BD" w:rsidRDefault="00DA65BD" w:rsidP="00DA65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lastRenderedPageBreak/>
        <w:t>Tabela zmian nr 2</w:t>
      </w:r>
      <w:r>
        <w:rPr>
          <w:rFonts w:eastAsia="Times New Roman" w:cs="Arial"/>
          <w:b/>
          <w:bCs/>
          <w:sz w:val="20"/>
          <w:szCs w:val="20"/>
          <w:lang w:eastAsia="pl-PL"/>
        </w:rPr>
        <w:t xml:space="preserve"> w ra</w:t>
      </w:r>
      <w:bookmarkStart w:id="1" w:name="_GoBack"/>
      <w:bookmarkEnd w:id="1"/>
      <w:r>
        <w:rPr>
          <w:rFonts w:eastAsia="Times New Roman" w:cs="Arial"/>
          <w:b/>
          <w:bCs/>
          <w:sz w:val="20"/>
          <w:szCs w:val="20"/>
          <w:lang w:eastAsia="pl-PL"/>
        </w:rPr>
        <w:t xml:space="preserve">mach konkursu nr </w:t>
      </w:r>
      <w:r w:rsidRPr="00BF28F5">
        <w:rPr>
          <w:rFonts w:eastAsia="Times New Roman" w:cs="Arial"/>
          <w:b/>
          <w:bCs/>
          <w:sz w:val="20"/>
          <w:szCs w:val="20"/>
          <w:lang w:eastAsia="pl-PL"/>
        </w:rPr>
        <w:t>RPMA.09.02.01-IP.01-14-050/17</w:t>
      </w:r>
    </w:p>
    <w:p w14:paraId="1CAA23FF" w14:textId="77777777" w:rsidR="00AE40CC" w:rsidRDefault="00AE40CC" w:rsidP="0006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</w:p>
    <w:p w14:paraId="4633BFE8" w14:textId="77777777" w:rsidR="00AE40CC" w:rsidRDefault="00AE40CC" w:rsidP="0006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</w:p>
    <w:p w14:paraId="4A56120E" w14:textId="77777777" w:rsidR="00063641" w:rsidRDefault="00063641" w:rsidP="0006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3641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>Tabela zmian wzoru Umowy o dofinansowanie projektu współfinansowanego z Europejskiego Funduszu Społecznego w ramach IX i X Osi Priorytetowej Regionalnego Programu Operacyjnego Województwa Mazowieckiego na lata 2014-2020 [kwoty ryczałtowe].</w:t>
      </w:r>
    </w:p>
    <w:p w14:paraId="62FF76B4" w14:textId="77777777" w:rsidR="00AE40CC" w:rsidRPr="00063641" w:rsidRDefault="00AE40CC" w:rsidP="0006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</w:p>
    <w:tbl>
      <w:tblPr>
        <w:tblW w:w="151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3826"/>
        <w:gridCol w:w="4113"/>
        <w:gridCol w:w="4677"/>
      </w:tblGrid>
      <w:tr w:rsidR="00063641" w:rsidRPr="00063641" w14:paraId="4E461EFA" w14:textId="77777777" w:rsidTr="008F6B0D">
        <w:tc>
          <w:tcPr>
            <w:tcW w:w="710" w:type="dxa"/>
            <w:vAlign w:val="center"/>
          </w:tcPr>
          <w:p w14:paraId="7D79CC80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43" w:type="dxa"/>
            <w:vAlign w:val="center"/>
          </w:tcPr>
          <w:p w14:paraId="44A74708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Miejsce zmiany</w:t>
            </w:r>
          </w:p>
        </w:tc>
        <w:tc>
          <w:tcPr>
            <w:tcW w:w="3826" w:type="dxa"/>
            <w:vAlign w:val="center"/>
          </w:tcPr>
          <w:p w14:paraId="605CD38C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Dotychczasowy zapis</w:t>
            </w:r>
          </w:p>
        </w:tc>
        <w:tc>
          <w:tcPr>
            <w:tcW w:w="4113" w:type="dxa"/>
            <w:vAlign w:val="center"/>
          </w:tcPr>
          <w:p w14:paraId="642C934D" w14:textId="700AE7C9" w:rsidR="00063641" w:rsidRPr="00063641" w:rsidRDefault="00AE40CC" w:rsidP="00063641">
            <w:pPr>
              <w:widowControl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Obecny</w:t>
            </w:r>
            <w:r w:rsidRPr="00063641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 xml:space="preserve"> </w:t>
            </w:r>
            <w:r w:rsidR="00063641" w:rsidRPr="00063641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zapis</w:t>
            </w:r>
          </w:p>
        </w:tc>
        <w:tc>
          <w:tcPr>
            <w:tcW w:w="4677" w:type="dxa"/>
            <w:vAlign w:val="center"/>
          </w:tcPr>
          <w:p w14:paraId="1D1BCAF7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Uzasadnienie/Uwagi</w:t>
            </w:r>
          </w:p>
        </w:tc>
      </w:tr>
      <w:tr w:rsidR="00063641" w:rsidRPr="00063641" w14:paraId="2585FACC" w14:textId="77777777" w:rsidTr="003E6490">
        <w:tc>
          <w:tcPr>
            <w:tcW w:w="710" w:type="dxa"/>
            <w:vAlign w:val="center"/>
          </w:tcPr>
          <w:p w14:paraId="731F2DF7" w14:textId="77777777" w:rsidR="00063641" w:rsidRPr="00063641" w:rsidRDefault="00063641" w:rsidP="00063641">
            <w:pPr>
              <w:widowControl w:val="0"/>
              <w:numPr>
                <w:ilvl w:val="0"/>
                <w:numId w:val="35"/>
              </w:numPr>
              <w:adjustRightInd w:val="0"/>
              <w:spacing w:after="0" w:line="240" w:lineRule="auto"/>
              <w:contextualSpacing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0E335212" w14:textId="77777777" w:rsidR="00063641" w:rsidRPr="00063641" w:rsidRDefault="00063641" w:rsidP="00063641">
            <w:pPr>
              <w:widowControl w:val="0"/>
              <w:adjustRightInd w:val="0"/>
              <w:spacing w:after="0" w:line="360" w:lineRule="atLeast"/>
              <w:ind w:left="317" w:hanging="357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§ 3 ust. 7</w:t>
            </w:r>
          </w:p>
        </w:tc>
        <w:tc>
          <w:tcPr>
            <w:tcW w:w="3826" w:type="dxa"/>
            <w:vAlign w:val="center"/>
          </w:tcPr>
          <w:p w14:paraId="61E04165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ind w:left="34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Wytycznych w zakresie realizacji zasady równości szans i niedyskryminacji oraz zasady równości szans kobiet i mężczyzn w ramach funduszy unijnych na lata 2014-2020</w:t>
            </w:r>
          </w:p>
        </w:tc>
        <w:tc>
          <w:tcPr>
            <w:tcW w:w="4113" w:type="dxa"/>
            <w:vAlign w:val="center"/>
          </w:tcPr>
          <w:p w14:paraId="7339BD1E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ind w:left="34" w:hanging="34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Wytycznych w zakresie realizacji zasady równości szans i niedyskryminacji, w tym dostępności dla osób z niepełnosprawnościami oraz zasady równości szans kobiet i mężczyzn w ramach funduszy unijnych na lata 2014-2020</w:t>
            </w:r>
          </w:p>
        </w:tc>
        <w:tc>
          <w:tcPr>
            <w:tcW w:w="4677" w:type="dxa"/>
            <w:vAlign w:val="center"/>
          </w:tcPr>
          <w:p w14:paraId="09192AA7" w14:textId="77777777" w:rsidR="00063641" w:rsidRPr="00063641" w:rsidRDefault="00063641" w:rsidP="00063641">
            <w:pPr>
              <w:suppressAutoHyphens/>
              <w:autoSpaceDN w:val="0"/>
              <w:spacing w:after="0" w:line="360" w:lineRule="atLeast"/>
              <w:ind w:left="34" w:right="-250" w:hanging="34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>Uzupełnienie zapisu.</w:t>
            </w:r>
          </w:p>
        </w:tc>
      </w:tr>
      <w:tr w:rsidR="00063641" w:rsidRPr="00063641" w14:paraId="01626756" w14:textId="77777777" w:rsidTr="003E6490">
        <w:tc>
          <w:tcPr>
            <w:tcW w:w="710" w:type="dxa"/>
            <w:vAlign w:val="center"/>
          </w:tcPr>
          <w:p w14:paraId="1FF32B72" w14:textId="77777777" w:rsidR="00063641" w:rsidRPr="00063641" w:rsidRDefault="00063641" w:rsidP="00063641">
            <w:pPr>
              <w:widowControl w:val="0"/>
              <w:numPr>
                <w:ilvl w:val="0"/>
                <w:numId w:val="35"/>
              </w:numPr>
              <w:adjustRightInd w:val="0"/>
              <w:spacing w:after="0" w:line="240" w:lineRule="auto"/>
              <w:contextualSpacing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4ED664E4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>§ 4 ust. 4</w:t>
            </w:r>
          </w:p>
        </w:tc>
        <w:tc>
          <w:tcPr>
            <w:tcW w:w="3826" w:type="dxa"/>
          </w:tcPr>
          <w:p w14:paraId="11E96CAD" w14:textId="77777777" w:rsidR="00063641" w:rsidRPr="00063641" w:rsidRDefault="00063641" w:rsidP="00063641">
            <w:pPr>
              <w:suppressAutoHyphens/>
              <w:autoSpaceDN w:val="0"/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vertAlign w:val="subscript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Wydatki w ramach Projektu mogą obejmować koszt podatku od towarów i usług, zgodnie ze złożonym przez Beneficjenta lub Partnerów oświadczeniem stanowiącym załącznik nr 3 do umowy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vertAlign w:val="superscript"/>
                <w:lang w:eastAsia="pl-PL"/>
              </w:rPr>
              <w:t>7)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vertAlign w:val="subscript"/>
                <w:lang w:eastAsia="pl-PL"/>
              </w:rPr>
              <w:t>.</w:t>
            </w:r>
          </w:p>
          <w:p w14:paraId="42FAE743" w14:textId="77777777" w:rsidR="00063641" w:rsidRPr="00063641" w:rsidRDefault="00063641" w:rsidP="00063641">
            <w:pPr>
              <w:suppressAutoHyphens/>
              <w:autoSpaceDN w:val="0"/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vertAlign w:val="superscript"/>
                <w:lang w:eastAsia="pl-PL"/>
              </w:rPr>
              <w:t>7)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Należy wykreślić, jeżeli Beneficjent/Partner nie będzie kwalifikował kosztu podatku od towarów i usług.</w:t>
            </w:r>
          </w:p>
        </w:tc>
        <w:tc>
          <w:tcPr>
            <w:tcW w:w="4113" w:type="dxa"/>
          </w:tcPr>
          <w:p w14:paraId="2E86DAF2" w14:textId="77777777" w:rsidR="00063641" w:rsidRPr="00063641" w:rsidRDefault="00063641" w:rsidP="00063641">
            <w:pPr>
              <w:suppressAutoHyphens/>
              <w:autoSpaceDN w:val="0"/>
              <w:spacing w:before="120"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77" w:type="dxa"/>
          </w:tcPr>
          <w:p w14:paraId="068A3515" w14:textId="77777777" w:rsidR="00063641" w:rsidRPr="00063641" w:rsidRDefault="00063641" w:rsidP="00063641">
            <w:pPr>
              <w:suppressAutoHyphens/>
              <w:autoSpaceDN w:val="0"/>
              <w:spacing w:after="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 xml:space="preserve">Usunięcie zapisu. </w:t>
            </w:r>
          </w:p>
          <w:p w14:paraId="7F231ED2" w14:textId="77777777" w:rsidR="00063641" w:rsidRPr="00063641" w:rsidRDefault="00063641" w:rsidP="00063641">
            <w:pPr>
              <w:suppressAutoHyphens/>
              <w:autoSpaceDN w:val="0"/>
              <w:spacing w:after="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 xml:space="preserve">zapis dotyczący podatku od towarów i usług znajduje się w  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§ 5 ust. 6</w:t>
            </w:r>
          </w:p>
        </w:tc>
      </w:tr>
      <w:tr w:rsidR="00063641" w:rsidRPr="00063641" w14:paraId="36BC679F" w14:textId="77777777" w:rsidTr="003E6490">
        <w:tc>
          <w:tcPr>
            <w:tcW w:w="710" w:type="dxa"/>
            <w:vAlign w:val="center"/>
          </w:tcPr>
          <w:p w14:paraId="37230A43" w14:textId="77777777" w:rsidR="00063641" w:rsidRPr="00063641" w:rsidRDefault="00063641" w:rsidP="00063641">
            <w:pPr>
              <w:widowControl w:val="0"/>
              <w:numPr>
                <w:ilvl w:val="0"/>
                <w:numId w:val="35"/>
              </w:numPr>
              <w:adjustRightInd w:val="0"/>
              <w:spacing w:after="0" w:line="240" w:lineRule="auto"/>
              <w:contextualSpacing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64D72C6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 xml:space="preserve">§ 5 ust. 6 </w:t>
            </w:r>
          </w:p>
        </w:tc>
        <w:tc>
          <w:tcPr>
            <w:tcW w:w="3826" w:type="dxa"/>
          </w:tcPr>
          <w:p w14:paraId="7438F157" w14:textId="77777777" w:rsidR="00063641" w:rsidRPr="00063641" w:rsidRDefault="00063641" w:rsidP="00063641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Wydatki poniesione na podatek od towarów i usług (VAT) mogą zostać uznane za kwalifikowalne, jeśli nie ma prawnej możliwości odzyskania podatku VAT i nie podlega on zwrotowi lub odliczeniu na rzecz Beneficjenta, co Beneficjent potwierdza składając oświadczenie.</w:t>
            </w:r>
          </w:p>
          <w:p w14:paraId="478F8786" w14:textId="77777777" w:rsidR="00063641" w:rsidRPr="00063641" w:rsidRDefault="00063641" w:rsidP="00063641">
            <w:pPr>
              <w:widowControl w:val="0"/>
              <w:adjustRightInd w:val="0"/>
              <w:spacing w:before="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4113" w:type="dxa"/>
          </w:tcPr>
          <w:p w14:paraId="684EEF54" w14:textId="77777777" w:rsidR="00063641" w:rsidRPr="00063641" w:rsidRDefault="00063641" w:rsidP="00063641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Wydatki poniesione na podatek od towarów i usług (VAT) mogą zostać uznane za kwalifikowalne, jeśli nie ma prawnej możliwości odzyskania podatku VAT i nie podlega on zwrotowi lub odliczeniu na rzecz Beneficjenta </w:t>
            </w:r>
            <w:r w:rsidRPr="00063641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lub Partnerów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, co Beneficjent/</w:t>
            </w:r>
            <w:r w:rsidRPr="00063641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Partner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potwierdza składając oświadczenie, </w:t>
            </w:r>
            <w:r w:rsidRPr="00063641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stanowiące załącznik nr 3 do umowy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</w:t>
            </w:r>
          </w:p>
          <w:p w14:paraId="37404694" w14:textId="77777777" w:rsidR="00063641" w:rsidRPr="00063641" w:rsidRDefault="00063641" w:rsidP="00063641">
            <w:pPr>
              <w:widowControl w:val="0"/>
              <w:adjustRightInd w:val="0"/>
              <w:spacing w:before="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</w:tcPr>
          <w:p w14:paraId="37E0662C" w14:textId="77777777" w:rsidR="00063641" w:rsidRPr="00063641" w:rsidRDefault="00063641" w:rsidP="00063641">
            <w:pPr>
              <w:suppressAutoHyphens/>
              <w:autoSpaceDN w:val="0"/>
              <w:spacing w:after="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lastRenderedPageBreak/>
              <w:t xml:space="preserve">Doprecyzowanie zapisu w wyniku usunięcia 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§ 4 ust. 3</w:t>
            </w:r>
          </w:p>
        </w:tc>
      </w:tr>
      <w:tr w:rsidR="00063641" w:rsidRPr="00063641" w14:paraId="0FD6273D" w14:textId="77777777" w:rsidTr="003E6490">
        <w:tc>
          <w:tcPr>
            <w:tcW w:w="710" w:type="dxa"/>
            <w:vAlign w:val="center"/>
          </w:tcPr>
          <w:p w14:paraId="74E01D18" w14:textId="77777777" w:rsidR="00063641" w:rsidRPr="00063641" w:rsidRDefault="00063641" w:rsidP="00063641">
            <w:pPr>
              <w:widowControl w:val="0"/>
              <w:numPr>
                <w:ilvl w:val="0"/>
                <w:numId w:val="35"/>
              </w:numPr>
              <w:adjustRightInd w:val="0"/>
              <w:spacing w:after="0" w:line="240" w:lineRule="auto"/>
              <w:contextualSpacing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4C915DB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>§ 7 ust. 1</w:t>
            </w:r>
          </w:p>
        </w:tc>
        <w:tc>
          <w:tcPr>
            <w:tcW w:w="3826" w:type="dxa"/>
          </w:tcPr>
          <w:p w14:paraId="41586161" w14:textId="77777777" w:rsidR="00063641" w:rsidRPr="00063641" w:rsidRDefault="00063641" w:rsidP="00063641">
            <w:pPr>
              <w:tabs>
                <w:tab w:val="num" w:pos="2880"/>
              </w:tabs>
              <w:spacing w:before="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Dofinansowanie, o którym mowa w § 2, wypłacane jest w formie zaliczki lub refundacji poniesionych wydatków w wysokości określonej w harmonogramie płatności stanowiącym załącznik nr 4 do umowy, który Beneficjent dołącza w SL2014, z zastrzeżeniem </w:t>
            </w:r>
            <w:r w:rsidRPr="00063641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ust. 3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i § 8. </w:t>
            </w:r>
          </w:p>
          <w:p w14:paraId="769C9283" w14:textId="77777777" w:rsidR="00063641" w:rsidRPr="00063641" w:rsidRDefault="00063641" w:rsidP="00063641">
            <w:pPr>
              <w:suppressAutoHyphens/>
              <w:autoSpaceDN w:val="0"/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4113" w:type="dxa"/>
          </w:tcPr>
          <w:p w14:paraId="6FADA858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Dofinansowanie, o którym mowa w § 2, wypłacane jest w formie zaliczki lub refundacji poniesionych wydatków w wysokości określonej w harmonogramie płatności stanowiącym załącznik nr 4 do umowy, który Beneficjent dołącza w SL2014, z zastrzeżeniem § 8.</w:t>
            </w:r>
          </w:p>
        </w:tc>
        <w:tc>
          <w:tcPr>
            <w:tcW w:w="4677" w:type="dxa"/>
          </w:tcPr>
          <w:p w14:paraId="74202270" w14:textId="6D6AFC48" w:rsidR="00063641" w:rsidRPr="00063641" w:rsidRDefault="00063641" w:rsidP="00AE40CC">
            <w:pPr>
              <w:suppressAutoHyphens/>
              <w:autoSpaceDN w:val="0"/>
              <w:spacing w:after="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 xml:space="preserve">Usunięto odwołanie do ust. 3.                         </w:t>
            </w:r>
          </w:p>
        </w:tc>
      </w:tr>
      <w:tr w:rsidR="00063641" w:rsidRPr="00063641" w14:paraId="5773FD2F" w14:textId="77777777" w:rsidTr="003E6490">
        <w:tc>
          <w:tcPr>
            <w:tcW w:w="710" w:type="dxa"/>
            <w:vAlign w:val="center"/>
          </w:tcPr>
          <w:p w14:paraId="25AC0F13" w14:textId="77777777" w:rsidR="00063641" w:rsidRPr="00063641" w:rsidRDefault="00063641" w:rsidP="00063641">
            <w:pPr>
              <w:widowControl w:val="0"/>
              <w:numPr>
                <w:ilvl w:val="0"/>
                <w:numId w:val="35"/>
              </w:numPr>
              <w:adjustRightInd w:val="0"/>
              <w:spacing w:after="0" w:line="240" w:lineRule="auto"/>
              <w:contextualSpacing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4CB236B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>§ 7 ust. 3</w:t>
            </w:r>
          </w:p>
        </w:tc>
        <w:tc>
          <w:tcPr>
            <w:tcW w:w="3826" w:type="dxa"/>
          </w:tcPr>
          <w:p w14:paraId="101A9FB5" w14:textId="77777777" w:rsidR="00063641" w:rsidRPr="00063641" w:rsidRDefault="00063641" w:rsidP="00063641">
            <w:pPr>
              <w:tabs>
                <w:tab w:val="num" w:pos="2880"/>
              </w:tabs>
              <w:spacing w:before="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Harmonogram płatności, o którym mowa w ust. 1, może podlegać aktualizacji, również z powodu, o którym mowa w § 8 ust. 3. Aktualizacja harmonogramu płatności, o której mowa w zdaniu pierwszym jest skuteczna, pod warunkiem akceptacji przez Instytucję Pośredniczącą w terminie, o którym mowa w § 9 ust. 2, i nie wymaga formy aneksu do niniejszej umowy.</w:t>
            </w:r>
          </w:p>
          <w:p w14:paraId="686DA271" w14:textId="77777777" w:rsidR="00063641" w:rsidRPr="00063641" w:rsidRDefault="00063641" w:rsidP="00063641">
            <w:pPr>
              <w:widowControl w:val="0"/>
              <w:suppressAutoHyphens/>
              <w:spacing w:before="60"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13" w:type="dxa"/>
          </w:tcPr>
          <w:p w14:paraId="50FDB206" w14:textId="77777777" w:rsidR="00063641" w:rsidRPr="00063641" w:rsidRDefault="00063641" w:rsidP="00063641">
            <w:pPr>
              <w:tabs>
                <w:tab w:val="num" w:pos="2880"/>
              </w:tabs>
              <w:spacing w:before="60" w:after="0" w:line="240" w:lineRule="auto"/>
              <w:ind w:left="34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Harmonogram płatności, o którym mowa w ust. 1, może podlegać aktualizacji. Aktualizacja harmonogramu płatności, jest skuteczna, pod warunkiem akceptacji przez Instytucję Pośredniczącą i nie wymaga formy aneksu do niniejszej umowy. </w:t>
            </w:r>
            <w:r w:rsidRPr="00063641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IP dokonuje weryfikacji harmonogramu płatności w terminie:</w:t>
            </w:r>
          </w:p>
          <w:p w14:paraId="2FA37C61" w14:textId="77777777" w:rsidR="00063641" w:rsidRPr="00063641" w:rsidRDefault="00063641" w:rsidP="00063641">
            <w:pPr>
              <w:widowControl w:val="0"/>
              <w:numPr>
                <w:ilvl w:val="0"/>
                <w:numId w:val="34"/>
              </w:numPr>
              <w:adjustRightInd w:val="0"/>
              <w:spacing w:before="60" w:after="0" w:line="240" w:lineRule="auto"/>
              <w:contextualSpacing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20 dni  roboczych – dla harmonogramu złożonego z wnioskiem o płatność;</w:t>
            </w:r>
          </w:p>
          <w:p w14:paraId="2DE753CE" w14:textId="77777777" w:rsidR="00063641" w:rsidRPr="00063641" w:rsidRDefault="00063641" w:rsidP="00063641">
            <w:pPr>
              <w:widowControl w:val="0"/>
              <w:numPr>
                <w:ilvl w:val="0"/>
                <w:numId w:val="34"/>
              </w:numPr>
              <w:tabs>
                <w:tab w:val="num" w:pos="2880"/>
              </w:tabs>
              <w:adjustRightInd w:val="0"/>
              <w:spacing w:before="60" w:after="0" w:line="240" w:lineRule="auto"/>
              <w:contextualSpacing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10 dni roboczych -  dla harmonogramu złożonego poza wnioskiem o płatność.</w:t>
            </w:r>
          </w:p>
          <w:p w14:paraId="1E86D304" w14:textId="77777777" w:rsidR="00063641" w:rsidRPr="00063641" w:rsidRDefault="00063641" w:rsidP="00063641">
            <w:pPr>
              <w:widowControl w:val="0"/>
              <w:suppressAutoHyphens/>
              <w:spacing w:before="60"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</w:tcPr>
          <w:p w14:paraId="3559F760" w14:textId="63CC98E8" w:rsidR="00063641" w:rsidRPr="00063641" w:rsidRDefault="00063641" w:rsidP="00AE40CC">
            <w:pPr>
              <w:suppressAutoHyphens/>
              <w:autoSpaceDN w:val="0"/>
              <w:spacing w:after="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>Doprecyzowano zapis</w:t>
            </w:r>
            <w:r w:rsidR="00AE40CC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 xml:space="preserve"> w</w:t>
            </w: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>skaz</w:t>
            </w:r>
            <w:r w:rsidR="00AE40CC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>ując</w:t>
            </w: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 xml:space="preserve"> terminy weryfikacji  harmonogramu  płatności składanego z wnioskiem o płatność oraz poza wnioskiem o płatność.</w:t>
            </w:r>
          </w:p>
        </w:tc>
      </w:tr>
      <w:tr w:rsidR="00063641" w:rsidRPr="00063641" w14:paraId="07BC3513" w14:textId="77777777" w:rsidTr="003E6490">
        <w:tc>
          <w:tcPr>
            <w:tcW w:w="710" w:type="dxa"/>
            <w:vAlign w:val="center"/>
          </w:tcPr>
          <w:p w14:paraId="17C4CFB7" w14:textId="77777777" w:rsidR="00063641" w:rsidRPr="00063641" w:rsidRDefault="00063641" w:rsidP="00063641">
            <w:pPr>
              <w:widowControl w:val="0"/>
              <w:numPr>
                <w:ilvl w:val="0"/>
                <w:numId w:val="35"/>
              </w:numPr>
              <w:adjustRightInd w:val="0"/>
              <w:spacing w:after="0" w:line="240" w:lineRule="auto"/>
              <w:contextualSpacing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4615893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>§ 7 ust. 9</w:t>
            </w:r>
          </w:p>
        </w:tc>
        <w:tc>
          <w:tcPr>
            <w:tcW w:w="3826" w:type="dxa"/>
          </w:tcPr>
          <w:p w14:paraId="558FE8FA" w14:textId="77777777" w:rsidR="00063641" w:rsidRPr="00063641" w:rsidRDefault="00063641" w:rsidP="00063641">
            <w:pPr>
              <w:tabs>
                <w:tab w:val="num" w:pos="2880"/>
              </w:tabs>
              <w:spacing w:before="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Odsetki bankowe od przekazanych Beneficjentowi transz dofinansowania podlegają zwrotowi, o ile przepisy odrębne nie stanowią inaczej.</w:t>
            </w:r>
          </w:p>
          <w:p w14:paraId="0CE9961D" w14:textId="77777777" w:rsidR="00063641" w:rsidRPr="00063641" w:rsidRDefault="00063641" w:rsidP="00063641">
            <w:pPr>
              <w:spacing w:before="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4113" w:type="dxa"/>
          </w:tcPr>
          <w:p w14:paraId="7830A176" w14:textId="77777777" w:rsidR="00063641" w:rsidRPr="00063641" w:rsidRDefault="00063641" w:rsidP="00063641">
            <w:pPr>
              <w:spacing w:before="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Odsetki bankowe od przekazanych Beneficjentowi transz dofinansowania podlegają zwrotowi po zakończeniu realizacji Projektu w terminie zgodnym z terminem wskazanym w § 9 ust. 6 oraz na każde 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lastRenderedPageBreak/>
              <w:t>wezwanie Instytucji Pośredniczącej, o ile przepisy odrębne nie stanowią inaczej.</w:t>
            </w:r>
          </w:p>
          <w:p w14:paraId="7CAF1E48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</w:tcPr>
          <w:p w14:paraId="65299814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lastRenderedPageBreak/>
              <w:t>Doprecyzowano zapis – wskazano termin zwrotu odsetek bankowych.</w:t>
            </w:r>
          </w:p>
        </w:tc>
      </w:tr>
      <w:tr w:rsidR="00063641" w:rsidRPr="00063641" w14:paraId="1327D5D9" w14:textId="77777777" w:rsidTr="003E6490">
        <w:tc>
          <w:tcPr>
            <w:tcW w:w="710" w:type="dxa"/>
            <w:vAlign w:val="center"/>
          </w:tcPr>
          <w:p w14:paraId="5A4CCC67" w14:textId="77777777" w:rsidR="00063641" w:rsidRPr="00063641" w:rsidRDefault="00063641" w:rsidP="00063641">
            <w:pPr>
              <w:widowControl w:val="0"/>
              <w:numPr>
                <w:ilvl w:val="0"/>
                <w:numId w:val="35"/>
              </w:numPr>
              <w:adjustRightInd w:val="0"/>
              <w:spacing w:after="0" w:line="240" w:lineRule="auto"/>
              <w:contextualSpacing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4F4A7597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>§ 7 ust. 10</w:t>
            </w:r>
          </w:p>
        </w:tc>
        <w:tc>
          <w:tcPr>
            <w:tcW w:w="3826" w:type="dxa"/>
          </w:tcPr>
          <w:p w14:paraId="768E0A74" w14:textId="77777777" w:rsidR="00063641" w:rsidRPr="00063641" w:rsidRDefault="00063641" w:rsidP="00063641">
            <w:pPr>
              <w:tabs>
                <w:tab w:val="num" w:pos="2880"/>
              </w:tabs>
              <w:spacing w:before="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Beneficjent przekazuje informację na temat zwrotu odsetek, o których mowa w ust. 9, w terminie … 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vertAlign w:val="superscript"/>
                <w:lang w:eastAsia="pl-PL"/>
              </w:rPr>
              <w:t>15) 16)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i zgodnie ze wzorem określonym przez Instytucję Pośredniczącą. </w:t>
            </w:r>
          </w:p>
          <w:p w14:paraId="4233F3DC" w14:textId="77777777" w:rsidR="00063641" w:rsidRPr="00063641" w:rsidRDefault="00063641" w:rsidP="00063641">
            <w:pPr>
              <w:tabs>
                <w:tab w:val="num" w:pos="2880"/>
              </w:tabs>
              <w:spacing w:before="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  <w:p w14:paraId="5E1F122A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vertAlign w:val="superscript"/>
                <w:lang w:eastAsia="pl-PL"/>
              </w:rPr>
              <w:t>15)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Należy określić termin na przekazanie informacji nt. zwrotu odsetek bankowych. </w:t>
            </w:r>
          </w:p>
          <w:p w14:paraId="6908CDE4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vertAlign w:val="superscript"/>
                <w:lang w:eastAsia="pl-PL"/>
              </w:rPr>
              <w:t xml:space="preserve">16) 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Jeśli dotyczy.</w:t>
            </w:r>
          </w:p>
          <w:p w14:paraId="11CF8E9B" w14:textId="77777777" w:rsidR="00063641" w:rsidRPr="00063641" w:rsidRDefault="00063641" w:rsidP="00063641">
            <w:pPr>
              <w:spacing w:before="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4113" w:type="dxa"/>
          </w:tcPr>
          <w:p w14:paraId="629E7D90" w14:textId="77777777" w:rsidR="00063641" w:rsidRPr="00063641" w:rsidRDefault="00063641" w:rsidP="00063641">
            <w:pPr>
              <w:spacing w:before="60"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Beneficjent przekazuje informację na temat </w:t>
            </w:r>
            <w:r w:rsidRPr="00063641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wysokości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i zwrotu odsetek, o których mowa w ust. 9, </w:t>
            </w:r>
            <w:r w:rsidRPr="00063641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we wnioskach o płatność, w terminach wskazanych w § 9 ust. 2 oraz na każde wezwanie Instytucji Pośredniczącej.</w:t>
            </w:r>
          </w:p>
          <w:p w14:paraId="7543F26C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</w:tcPr>
          <w:p w14:paraId="4AB815C4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 xml:space="preserve">Doprecyzowano zapis  dotyczący sposobu przekazywania informacji 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na temat wysokości i zwrotu odsetek</w:t>
            </w: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 xml:space="preserve"> do IP.</w:t>
            </w:r>
          </w:p>
        </w:tc>
      </w:tr>
      <w:tr w:rsidR="00063641" w:rsidRPr="00063641" w14:paraId="3100EB50" w14:textId="77777777" w:rsidTr="003E6490">
        <w:tc>
          <w:tcPr>
            <w:tcW w:w="710" w:type="dxa"/>
            <w:vAlign w:val="center"/>
          </w:tcPr>
          <w:p w14:paraId="7A43B0E8" w14:textId="77777777" w:rsidR="00063641" w:rsidRPr="00063641" w:rsidRDefault="00063641" w:rsidP="00063641">
            <w:pPr>
              <w:widowControl w:val="0"/>
              <w:numPr>
                <w:ilvl w:val="0"/>
                <w:numId w:val="35"/>
              </w:numPr>
              <w:adjustRightInd w:val="0"/>
              <w:spacing w:after="0" w:line="240" w:lineRule="auto"/>
              <w:contextualSpacing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1E6B4A3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>§  8 ust 3</w:t>
            </w:r>
          </w:p>
        </w:tc>
        <w:tc>
          <w:tcPr>
            <w:tcW w:w="3826" w:type="dxa"/>
          </w:tcPr>
          <w:p w14:paraId="5AAC8A89" w14:textId="77777777" w:rsidR="00063641" w:rsidRPr="00063641" w:rsidRDefault="00063641" w:rsidP="00063641">
            <w:pPr>
              <w:tabs>
                <w:tab w:val="left" w:pos="142"/>
              </w:tabs>
              <w:spacing w:before="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W przypadku niemożliwości dokonania wypłaty transzy dofinansowania spowodowanej okresowym brakiem środków,</w:t>
            </w:r>
            <w:r w:rsidRPr="00063641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 xml:space="preserve"> o których mowa w § 2 ust. 1 pkt 1 i 2, 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Beneficjent ma prawo renegocjować harmonogram realizacji Projektu i harmonogram płatności, o których mowa odpowiednio w § 6 ust. 3 pkt. 2 i § 7 ust. 1.</w:t>
            </w:r>
          </w:p>
          <w:p w14:paraId="284B81E3" w14:textId="77777777" w:rsidR="00063641" w:rsidRPr="00063641" w:rsidRDefault="00063641" w:rsidP="00063641">
            <w:pPr>
              <w:widowControl w:val="0"/>
              <w:suppressAutoHyphens/>
              <w:spacing w:before="60"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13" w:type="dxa"/>
          </w:tcPr>
          <w:p w14:paraId="73C2AC51" w14:textId="77777777" w:rsidR="00063641" w:rsidRPr="00063641" w:rsidRDefault="00063641" w:rsidP="00063641">
            <w:pPr>
              <w:tabs>
                <w:tab w:val="left" w:pos="142"/>
              </w:tabs>
              <w:spacing w:before="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W przypadku niemożliwości dokonania wypłaty transzy dofinansowania spowodowanej okresowym brakiem środków, Beneficjent ma prawo renegocjować harmonogram realizacji Projektu i harmonogram płatności, o których mowa odpowiednio w § 6 ust. 3 pkt. 2 i § 7 ust. 1.</w:t>
            </w:r>
          </w:p>
          <w:p w14:paraId="0E598AE0" w14:textId="77777777" w:rsidR="00063641" w:rsidRPr="00063641" w:rsidRDefault="00063641" w:rsidP="00063641">
            <w:pPr>
              <w:widowControl w:val="0"/>
              <w:suppressAutoHyphens/>
              <w:spacing w:before="60"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</w:tcPr>
          <w:p w14:paraId="1C317923" w14:textId="77777777" w:rsidR="00063641" w:rsidRPr="00063641" w:rsidRDefault="00063641" w:rsidP="00063641">
            <w:pPr>
              <w:suppressAutoHyphens/>
              <w:autoSpaceDN w:val="0"/>
              <w:spacing w:after="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 xml:space="preserve">Usunięto odwołanie się do 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§ 2 ust. 1 pkt 1 i 2, brak konieczności odwołania.  </w:t>
            </w:r>
          </w:p>
        </w:tc>
      </w:tr>
      <w:tr w:rsidR="00063641" w:rsidRPr="00063641" w14:paraId="4AABB487" w14:textId="77777777" w:rsidTr="003E6490">
        <w:tc>
          <w:tcPr>
            <w:tcW w:w="710" w:type="dxa"/>
            <w:vAlign w:val="center"/>
          </w:tcPr>
          <w:p w14:paraId="0B502D5D" w14:textId="77777777" w:rsidR="00063641" w:rsidRPr="00063641" w:rsidRDefault="00063641" w:rsidP="00063641">
            <w:pPr>
              <w:widowControl w:val="0"/>
              <w:numPr>
                <w:ilvl w:val="0"/>
                <w:numId w:val="35"/>
              </w:numPr>
              <w:adjustRightInd w:val="0"/>
              <w:spacing w:after="0" w:line="240" w:lineRule="auto"/>
              <w:contextualSpacing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DE8FF56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>§ 9 ust. 6</w:t>
            </w:r>
          </w:p>
        </w:tc>
        <w:tc>
          <w:tcPr>
            <w:tcW w:w="3826" w:type="dxa"/>
          </w:tcPr>
          <w:p w14:paraId="0E9842B6" w14:textId="77777777" w:rsidR="00063641" w:rsidRPr="00063641" w:rsidRDefault="00063641" w:rsidP="00063641">
            <w:pPr>
              <w:widowControl w:val="0"/>
              <w:suppressAutoHyphens/>
              <w:spacing w:before="60"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Beneficjent jest zobowiązany do rozliczenia całości otrzymanego dofinansowania, przekazanego kolejnymi transzami zaliczek, w końcowym wniosku o płatność składanym 30 dni kalendarzowych od dnia zakończenia okresu realizacji Projektu. W przypadku, gdy z rozliczenia wynika, że przekazane środki 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lastRenderedPageBreak/>
              <w:t>dofinansowania nie zostały w całości wykorzystane na wydatki kwalifikowalne, Beneficjent zwraca tę część dofinansowania w terminie nie późniejszym niż w dniu złożenia Wniosku o płatność końcową.</w:t>
            </w:r>
          </w:p>
        </w:tc>
        <w:tc>
          <w:tcPr>
            <w:tcW w:w="4113" w:type="dxa"/>
          </w:tcPr>
          <w:p w14:paraId="02440A00" w14:textId="77777777" w:rsidR="00063641" w:rsidRPr="00063641" w:rsidRDefault="00063641" w:rsidP="00063641">
            <w:pPr>
              <w:widowControl w:val="0"/>
              <w:suppressAutoHyphens/>
              <w:spacing w:before="60"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lastRenderedPageBreak/>
              <w:t xml:space="preserve">Beneficjent jest zobowiązany do rozliczenia całości otrzymanego dofinansowania, przekazanego kolejnymi transzami zaliczek, w końcowym wniosku o płatność składanym </w:t>
            </w:r>
            <w:r w:rsidRPr="00063641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w terminie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30 dni kalendarzowych od dnia zakończenia okresu realizacji Projektu. W przypadku, gdy z rozliczenia wynika, że 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lastRenderedPageBreak/>
              <w:t>przekazane środki dofinansowania nie zostały w całości wykorzystane na wydatki kwalifikowalne, Beneficjent zwraca tę część dofinansowania w terminie nie późniejszym niż w dniu złożenia Wniosku o płatność końcową.</w:t>
            </w:r>
          </w:p>
        </w:tc>
        <w:tc>
          <w:tcPr>
            <w:tcW w:w="4677" w:type="dxa"/>
          </w:tcPr>
          <w:p w14:paraId="0740593A" w14:textId="77777777" w:rsidR="00063641" w:rsidRPr="00063641" w:rsidRDefault="00063641" w:rsidP="00063641">
            <w:pPr>
              <w:suppressAutoHyphens/>
              <w:autoSpaceDN w:val="0"/>
              <w:spacing w:after="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lastRenderedPageBreak/>
              <w:t>Dodano słowo „w terminie”</w:t>
            </w:r>
          </w:p>
        </w:tc>
      </w:tr>
      <w:tr w:rsidR="00063641" w:rsidRPr="00063641" w14:paraId="5487D66D" w14:textId="77777777" w:rsidTr="003E6490">
        <w:tc>
          <w:tcPr>
            <w:tcW w:w="710" w:type="dxa"/>
            <w:vAlign w:val="center"/>
          </w:tcPr>
          <w:p w14:paraId="38398131" w14:textId="77777777" w:rsidR="00063641" w:rsidRPr="00063641" w:rsidRDefault="00063641" w:rsidP="00063641">
            <w:pPr>
              <w:widowControl w:val="0"/>
              <w:numPr>
                <w:ilvl w:val="0"/>
                <w:numId w:val="35"/>
              </w:numPr>
              <w:adjustRightInd w:val="0"/>
              <w:spacing w:after="0" w:line="240" w:lineRule="auto"/>
              <w:contextualSpacing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11DFD69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>§ 9 ust. 9</w:t>
            </w:r>
          </w:p>
        </w:tc>
        <w:tc>
          <w:tcPr>
            <w:tcW w:w="3826" w:type="dxa"/>
          </w:tcPr>
          <w:p w14:paraId="468F58FF" w14:textId="77777777" w:rsidR="00063641" w:rsidRPr="00063641" w:rsidRDefault="00063641" w:rsidP="00063641">
            <w:pPr>
              <w:widowControl w:val="0"/>
              <w:suppressAutoHyphens/>
              <w:spacing w:before="60"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hAnsiTheme="minorHAnsi" w:cs="Arial"/>
                <w:sz w:val="20"/>
                <w:szCs w:val="20"/>
              </w:rPr>
              <w:t>Beneficjent oświadcza w drugim i kolejnych wnioskach o płatność o kwocie poniesionych w ramach Projektu wydatków bezpośrednich i pośrednich w związku z realizacją kwot ryczałtowych oraz informuje o przebiegu postępu rzeczowego Projektu.</w:t>
            </w:r>
          </w:p>
        </w:tc>
        <w:tc>
          <w:tcPr>
            <w:tcW w:w="4113" w:type="dxa"/>
          </w:tcPr>
          <w:p w14:paraId="0455FCCA" w14:textId="77777777" w:rsidR="00063641" w:rsidRPr="00063641" w:rsidRDefault="00063641" w:rsidP="00063641">
            <w:pPr>
              <w:widowControl w:val="0"/>
              <w:adjustRightInd w:val="0"/>
              <w:spacing w:before="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hAnsiTheme="minorHAnsi" w:cs="Arial"/>
                <w:sz w:val="20"/>
                <w:szCs w:val="20"/>
              </w:rPr>
              <w:t xml:space="preserve">Beneficjent, </w:t>
            </w:r>
            <w:r w:rsidRPr="0006364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  <w:t xml:space="preserve">wnioskując o kolejną transzę, </w:t>
            </w:r>
            <w:r w:rsidRPr="0006364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oświadcza </w:t>
            </w:r>
            <w:r w:rsidRPr="0006364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  <w:t xml:space="preserve">we wniosku o płatność </w:t>
            </w:r>
            <w:r w:rsidRPr="0006364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o kwocie poniesionych </w:t>
            </w:r>
            <w:r w:rsidRPr="00063641">
              <w:rPr>
                <w:rFonts w:asciiTheme="minorHAnsi" w:hAnsiTheme="minorHAnsi" w:cs="Arial"/>
                <w:sz w:val="20"/>
                <w:szCs w:val="20"/>
              </w:rPr>
              <w:t>w ramach Projektu wydatków bezpośrednich i pośrednich w związku z realizacją kwot ryczałtowych oraz informuje o przebiegu postępu rzeczowego Projektu.</w:t>
            </w:r>
          </w:p>
          <w:p w14:paraId="71CF962A" w14:textId="77777777" w:rsidR="00063641" w:rsidRPr="00063641" w:rsidRDefault="00063641" w:rsidP="00063641">
            <w:pPr>
              <w:widowControl w:val="0"/>
              <w:suppressAutoHyphens/>
              <w:spacing w:before="60"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</w:tcPr>
          <w:p w14:paraId="43C0BFB8" w14:textId="77777777" w:rsidR="00063641" w:rsidRPr="00063641" w:rsidRDefault="00063641" w:rsidP="00063641">
            <w:pPr>
              <w:suppressAutoHyphens/>
              <w:autoSpaceDN w:val="0"/>
              <w:spacing w:after="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 xml:space="preserve">Doprecyzowanie zapisu, Beneficjent wnioskując o kolejną transzę informuje o kwocie poniesionych wydatków (z wyłączeniem sytuacji kiedy składa wniosek „zerowy”). </w:t>
            </w:r>
          </w:p>
        </w:tc>
      </w:tr>
      <w:tr w:rsidR="00063641" w:rsidRPr="00063641" w14:paraId="54DE4837" w14:textId="77777777" w:rsidTr="003E6490">
        <w:tc>
          <w:tcPr>
            <w:tcW w:w="710" w:type="dxa"/>
            <w:vAlign w:val="center"/>
          </w:tcPr>
          <w:p w14:paraId="7A39F29A" w14:textId="77777777" w:rsidR="00063641" w:rsidRPr="00063641" w:rsidRDefault="00063641" w:rsidP="00063641">
            <w:pPr>
              <w:widowControl w:val="0"/>
              <w:numPr>
                <w:ilvl w:val="0"/>
                <w:numId w:val="35"/>
              </w:numPr>
              <w:adjustRightInd w:val="0"/>
              <w:spacing w:after="0" w:line="240" w:lineRule="auto"/>
              <w:contextualSpacing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C1D0A70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>§  10 ust. 2</w:t>
            </w:r>
          </w:p>
        </w:tc>
        <w:tc>
          <w:tcPr>
            <w:tcW w:w="3826" w:type="dxa"/>
          </w:tcPr>
          <w:p w14:paraId="21263458" w14:textId="77777777" w:rsidR="00063641" w:rsidRPr="00063641" w:rsidRDefault="00063641" w:rsidP="00063641">
            <w:pPr>
              <w:widowControl w:val="0"/>
              <w:adjustRightInd w:val="0"/>
              <w:spacing w:before="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W przypadku stwierdzenia błędów w złożonym wniosku o płatność, Instytucja Pośrednicząca może dokonać uzupełnienia lub poprawienia wniosku o płatność, o czym informuje Beneficjenta lub wzywa Beneficjenta do poprawienia lub uzupełnienia wniosku o płatność lub złożenia dodatkowych wyjaśnień w wyznaczonym terminie, w szczególności Instytucja Pośrednicząca może wezwać Beneficjenta do złożenia lub przesłania w systemie SL2014 kopii poświadczonych za zgodność z oryginałem dokumentów księgowych dotyczących Projektu.</w:t>
            </w:r>
          </w:p>
          <w:p w14:paraId="51B2DCA6" w14:textId="77777777" w:rsidR="00063641" w:rsidRPr="00063641" w:rsidRDefault="00063641" w:rsidP="00063641">
            <w:pPr>
              <w:widowControl w:val="0"/>
              <w:suppressAutoHyphens/>
              <w:spacing w:before="60"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13" w:type="dxa"/>
          </w:tcPr>
          <w:p w14:paraId="55C7AD7C" w14:textId="77777777" w:rsidR="00063641" w:rsidRPr="00063641" w:rsidRDefault="00063641" w:rsidP="00063641">
            <w:pPr>
              <w:widowControl w:val="0"/>
              <w:adjustRightInd w:val="0"/>
              <w:spacing w:before="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W przypadku stwierdzenia błędów w złożonym wniosku o płatność, Instytucja Pośrednicząca może dokonać uzupełnienia lub poprawienia wniosku o płatność, o czym informuje Beneficjenta lub wzywa Beneficjenta do poprawienia lub uzupełnienia wniosku o płatność lub złożenia dodatkowych wyjaśnień w wyznaczonym terminie, w szczególności Instytucja Pośrednicząca może wezwać Beneficjenta do złożenia lub przesłania w systemie SL2014 skanów oryginałów dokumentów księgowych dotyczących Projektu.</w:t>
            </w:r>
          </w:p>
          <w:p w14:paraId="68575E70" w14:textId="77777777" w:rsidR="00063641" w:rsidRPr="00063641" w:rsidRDefault="00063641" w:rsidP="00063641">
            <w:pPr>
              <w:widowControl w:val="0"/>
              <w:suppressAutoHyphens/>
              <w:spacing w:before="60"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</w:tcPr>
          <w:p w14:paraId="7ACEDA35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 xml:space="preserve">Zmiana dotyczy przekazania skanów oryginałów dokumentów księgowych zamiast kopii poświadczonych za zgodność z oryginałem. </w:t>
            </w:r>
          </w:p>
          <w:p w14:paraId="6C961631" w14:textId="77777777" w:rsidR="00063641" w:rsidRPr="00063641" w:rsidRDefault="00063641" w:rsidP="00063641">
            <w:pPr>
              <w:suppressAutoHyphens/>
              <w:autoSpaceDN w:val="0"/>
              <w:spacing w:after="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>Wynika to z formy wprowadzania dokumentów do systemu SL 2014.</w:t>
            </w:r>
          </w:p>
        </w:tc>
      </w:tr>
      <w:tr w:rsidR="00063641" w:rsidRPr="00063641" w14:paraId="332624E1" w14:textId="77777777" w:rsidTr="003E6490">
        <w:tc>
          <w:tcPr>
            <w:tcW w:w="710" w:type="dxa"/>
            <w:vAlign w:val="center"/>
          </w:tcPr>
          <w:p w14:paraId="6E854DE7" w14:textId="77777777" w:rsidR="00063641" w:rsidRPr="00063641" w:rsidRDefault="00063641" w:rsidP="00063641">
            <w:pPr>
              <w:widowControl w:val="0"/>
              <w:numPr>
                <w:ilvl w:val="0"/>
                <w:numId w:val="35"/>
              </w:numPr>
              <w:adjustRightInd w:val="0"/>
              <w:spacing w:after="0" w:line="240" w:lineRule="auto"/>
              <w:contextualSpacing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0B0A94A7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>§ 10 ust. 4 pkt 2</w:t>
            </w:r>
          </w:p>
        </w:tc>
        <w:tc>
          <w:tcPr>
            <w:tcW w:w="3826" w:type="dxa"/>
          </w:tcPr>
          <w:p w14:paraId="2FF5765A" w14:textId="77777777" w:rsidR="00063641" w:rsidRPr="00063641" w:rsidRDefault="00063641" w:rsidP="00063641">
            <w:pPr>
              <w:widowControl w:val="0"/>
              <w:tabs>
                <w:tab w:val="num" w:pos="680"/>
              </w:tabs>
              <w:adjustRightInd w:val="0"/>
              <w:spacing w:before="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zatwierdzoną kwotę rozliczenia kwoty dofinansowania w podziale na środki, o których mowa w § 2 ust. 1 pkt 1 i 2 </w:t>
            </w:r>
            <w:r w:rsidRPr="00063641">
              <w:rPr>
                <w:rFonts w:asciiTheme="minorHAnsi" w:eastAsia="Times New Roman" w:hAnsiTheme="minorHAnsi" w:cs="Arial"/>
                <w:iCs/>
                <w:sz w:val="20"/>
                <w:szCs w:val="20"/>
                <w:lang w:eastAsia="pl-PL"/>
              </w:rPr>
              <w:t>oraz wkładu własnego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wynikającą z pomniejszenia kwoty wydatków rozliczanych we wniosku o płatność o wydatki niekwalifikowalne, o których mowa w pkt 1, oraz o dochody, o których mowa w § 11.</w:t>
            </w:r>
          </w:p>
          <w:p w14:paraId="76CA308F" w14:textId="77777777" w:rsidR="00063641" w:rsidRPr="00063641" w:rsidRDefault="00063641" w:rsidP="00063641">
            <w:pPr>
              <w:widowControl w:val="0"/>
              <w:suppressAutoHyphens/>
              <w:spacing w:before="60"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13" w:type="dxa"/>
          </w:tcPr>
          <w:p w14:paraId="45B5E44C" w14:textId="77777777" w:rsidR="00063641" w:rsidRPr="00063641" w:rsidRDefault="00063641" w:rsidP="00063641">
            <w:pPr>
              <w:widowControl w:val="0"/>
              <w:tabs>
                <w:tab w:val="num" w:pos="680"/>
              </w:tabs>
              <w:adjustRightInd w:val="0"/>
              <w:spacing w:before="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zatwierdzoną kwotę rozliczenia kwoty dofinansowania </w:t>
            </w:r>
            <w:r w:rsidRPr="00063641">
              <w:rPr>
                <w:rFonts w:asciiTheme="minorHAnsi" w:eastAsia="Times New Roman" w:hAnsiTheme="minorHAnsi" w:cs="Arial"/>
                <w:iCs/>
                <w:sz w:val="20"/>
                <w:szCs w:val="20"/>
                <w:lang w:eastAsia="pl-PL"/>
              </w:rPr>
              <w:t>oraz wkładu własnego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wynikającą z pomniejszenia kwoty wydatków rozliczanych we wniosku o płatność o wydatki niekwalifikowalne, o których mowa w pkt 1, oraz o dochody, o których mowa w § 11.</w:t>
            </w:r>
          </w:p>
          <w:p w14:paraId="6E04054F" w14:textId="77777777" w:rsidR="00063641" w:rsidRPr="00063641" w:rsidRDefault="00063641" w:rsidP="00063641">
            <w:pPr>
              <w:widowControl w:val="0"/>
              <w:suppressAutoHyphens/>
              <w:spacing w:before="60"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</w:tcPr>
          <w:p w14:paraId="2B4C8F67" w14:textId="3B12FAC3" w:rsidR="00063641" w:rsidRPr="00063641" w:rsidRDefault="00063641" w:rsidP="00AE40CC">
            <w:pPr>
              <w:suppressAutoHyphens/>
              <w:autoSpaceDN w:val="0"/>
              <w:spacing w:after="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Usunięto z uwagi na fakt, że dofinansowanie nie zawsze pochodzi z dotacji celowej.</w:t>
            </w:r>
          </w:p>
        </w:tc>
      </w:tr>
      <w:tr w:rsidR="00063641" w:rsidRPr="00063641" w14:paraId="7ED726B3" w14:textId="77777777" w:rsidTr="003E6490">
        <w:tc>
          <w:tcPr>
            <w:tcW w:w="710" w:type="dxa"/>
            <w:vAlign w:val="center"/>
          </w:tcPr>
          <w:p w14:paraId="5961A9FF" w14:textId="77777777" w:rsidR="00063641" w:rsidRPr="00063641" w:rsidRDefault="00063641" w:rsidP="00063641">
            <w:pPr>
              <w:widowControl w:val="0"/>
              <w:numPr>
                <w:ilvl w:val="0"/>
                <w:numId w:val="35"/>
              </w:numPr>
              <w:adjustRightInd w:val="0"/>
              <w:spacing w:after="0" w:line="240" w:lineRule="auto"/>
              <w:contextualSpacing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2C388CF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>§  15 ust. 1 przypis nr 25</w:t>
            </w:r>
          </w:p>
        </w:tc>
        <w:tc>
          <w:tcPr>
            <w:tcW w:w="3826" w:type="dxa"/>
          </w:tcPr>
          <w:p w14:paraId="726439A0" w14:textId="77777777" w:rsidR="00063641" w:rsidRPr="00063641" w:rsidRDefault="00063641" w:rsidP="00063641">
            <w:pPr>
              <w:spacing w:before="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W przypadku gdy wartość dofinansowania Projektu przekracza limit określony w rozporządzeniu Ministra Rozwoju Regionalnego </w:t>
            </w:r>
            <w:r w:rsidRPr="00063641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wydanym na podstawie art. 189 ust. 4 ustawy z dnia 27 sierpnia 2009 r. o finansach publicznych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, stosuje się odpowiednio przepisy ww. rozporządzenia.</w:t>
            </w:r>
          </w:p>
        </w:tc>
        <w:tc>
          <w:tcPr>
            <w:tcW w:w="4113" w:type="dxa"/>
          </w:tcPr>
          <w:p w14:paraId="0A039375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ind w:left="142" w:hanging="142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W przypadku gdy wartość dofinansowania Projektu przekracza limit określony w rozporządzeniu Ministra Rozwoju Regionalnego </w:t>
            </w:r>
            <w:r w:rsidRPr="00063641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z dnia18 grudnia 2009 r. w sprawie warunków i trybu udzielania i rozliczania zaliczek oraz zakresu i terminów składania wniosków o płatność w ramach programów finansowanych z udziałem środków europejskich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, stosuje się odpowiednio przepisy ww. rozporządzenia.</w:t>
            </w:r>
          </w:p>
          <w:p w14:paraId="463CAB5F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</w:tcPr>
          <w:p w14:paraId="20873A60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 xml:space="preserve">Powołanie się bezpośrednio na obowiązujące Rozporządzenie wydane na podstawie ustawy o finansach publicznych. </w:t>
            </w:r>
          </w:p>
        </w:tc>
      </w:tr>
      <w:tr w:rsidR="00063641" w:rsidRPr="00063641" w14:paraId="720FB16A" w14:textId="77777777" w:rsidTr="003E6490">
        <w:tc>
          <w:tcPr>
            <w:tcW w:w="710" w:type="dxa"/>
            <w:vAlign w:val="center"/>
          </w:tcPr>
          <w:p w14:paraId="1EF49937" w14:textId="77777777" w:rsidR="00063641" w:rsidRPr="00063641" w:rsidRDefault="00063641" w:rsidP="00063641">
            <w:pPr>
              <w:widowControl w:val="0"/>
              <w:numPr>
                <w:ilvl w:val="0"/>
                <w:numId w:val="35"/>
              </w:numPr>
              <w:adjustRightInd w:val="0"/>
              <w:spacing w:after="0" w:line="240" w:lineRule="auto"/>
              <w:contextualSpacing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28A693F2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 xml:space="preserve">§ 15  </w:t>
            </w:r>
          </w:p>
          <w:p w14:paraId="198670E6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>ust. 2 i ust. 3</w:t>
            </w:r>
          </w:p>
        </w:tc>
        <w:tc>
          <w:tcPr>
            <w:tcW w:w="3826" w:type="dxa"/>
          </w:tcPr>
          <w:p w14:paraId="55A5F40E" w14:textId="77777777" w:rsidR="00063641" w:rsidRPr="00063641" w:rsidRDefault="00063641" w:rsidP="00063641">
            <w:pPr>
              <w:widowControl w:val="0"/>
              <w:numPr>
                <w:ilvl w:val="0"/>
                <w:numId w:val="33"/>
              </w:numPr>
              <w:adjustRightInd w:val="0"/>
              <w:spacing w:before="60" w:after="0" w:line="240" w:lineRule="auto"/>
              <w:ind w:left="459" w:hanging="544"/>
              <w:contextualSpacing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Zabezpieczenie ustanawiane jest w formie weksla in blanco wraz z deklaracją wekslową, w przypadku gdy:</w:t>
            </w:r>
          </w:p>
          <w:p w14:paraId="5A90A862" w14:textId="77777777" w:rsidR="00063641" w:rsidRPr="00063641" w:rsidRDefault="00063641" w:rsidP="00063641">
            <w:pPr>
              <w:widowControl w:val="0"/>
              <w:numPr>
                <w:ilvl w:val="1"/>
                <w:numId w:val="28"/>
              </w:numPr>
              <w:tabs>
                <w:tab w:val="num" w:pos="284"/>
              </w:tabs>
              <w:adjustRightInd w:val="0"/>
              <w:spacing w:before="60" w:after="0" w:line="240" w:lineRule="auto"/>
              <w:ind w:left="284" w:firstLine="142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wartość zaliczki nie przekracza  10 000 000 PLN lub </w:t>
            </w:r>
          </w:p>
          <w:p w14:paraId="7A9895A2" w14:textId="77777777" w:rsidR="00063641" w:rsidRPr="00063641" w:rsidRDefault="00063641" w:rsidP="00063641">
            <w:pPr>
              <w:widowControl w:val="0"/>
              <w:numPr>
                <w:ilvl w:val="1"/>
                <w:numId w:val="28"/>
              </w:numPr>
              <w:tabs>
                <w:tab w:val="num" w:pos="567"/>
                <w:tab w:val="left" w:pos="709"/>
              </w:tabs>
              <w:adjustRightInd w:val="0"/>
              <w:spacing w:before="60" w:after="0" w:line="240" w:lineRule="auto"/>
              <w:ind w:left="709" w:hanging="283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Beneficjent jest podmiotem świadczącym usługi publiczne lub 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lastRenderedPageBreak/>
              <w:t>usługi w ogólnym interesie gospodarczym, o którym mowa w art. 93 i art. 106 ust.2 Traktatu o funkcjonowaniu Unii Europejskiej, lub jest instytutem badawczym w rozumieniu ustawy z dnia 30 kwietnia 2010 r. o instytutach badawczych (Dz. U. z 2016 r. poz. 371, z późn. zm.).</w:t>
            </w:r>
          </w:p>
          <w:p w14:paraId="4AB1667B" w14:textId="77777777" w:rsidR="00063641" w:rsidRPr="00063641" w:rsidRDefault="00063641" w:rsidP="00063641">
            <w:pPr>
              <w:widowControl w:val="0"/>
              <w:numPr>
                <w:ilvl w:val="0"/>
                <w:numId w:val="33"/>
              </w:numPr>
              <w:adjustRightInd w:val="0"/>
              <w:spacing w:before="60" w:after="0" w:line="240" w:lineRule="auto"/>
              <w:ind w:left="459" w:hanging="459"/>
              <w:contextualSpacing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W przypadku gdy wartość zaliczki przekracza 10 000 000 PLN, zabezpieczenie, ustanawiane jest w wysokości co najmniej równowartości najwyższej transzy zaliczki wynikającej z harmonogramu płatności, w jednej lub kilku następujących form wybranych przez instytucje, z którą Beneficjent zawarł umowę o dofinansowanie:</w:t>
            </w:r>
          </w:p>
          <w:p w14:paraId="12B555A0" w14:textId="77777777" w:rsidR="00063641" w:rsidRPr="00063641" w:rsidRDefault="00063641" w:rsidP="00063641">
            <w:pPr>
              <w:widowControl w:val="0"/>
              <w:numPr>
                <w:ilvl w:val="1"/>
                <w:numId w:val="27"/>
              </w:numPr>
              <w:tabs>
                <w:tab w:val="num" w:pos="426"/>
              </w:tabs>
              <w:adjustRightInd w:val="0"/>
              <w:spacing w:before="60" w:after="0" w:line="240" w:lineRule="auto"/>
              <w:ind w:left="709" w:hanging="284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pieniężnej;</w:t>
            </w:r>
          </w:p>
          <w:p w14:paraId="51A2A5E7" w14:textId="77777777" w:rsidR="00063641" w:rsidRPr="00063641" w:rsidRDefault="00063641" w:rsidP="00063641">
            <w:pPr>
              <w:widowControl w:val="0"/>
              <w:numPr>
                <w:ilvl w:val="1"/>
                <w:numId w:val="27"/>
              </w:numPr>
              <w:tabs>
                <w:tab w:val="num" w:pos="709"/>
              </w:tabs>
              <w:adjustRightInd w:val="0"/>
              <w:spacing w:before="60" w:after="0" w:line="240" w:lineRule="auto"/>
              <w:ind w:left="709" w:hanging="284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poręczenia bankowego lub poręczenia spółdzielczej kasy oszczędnościowo-kredytowej, z tym, że zobowiązanie kasy jest zawsze zobowiązaniem pieniężnym;</w:t>
            </w:r>
          </w:p>
          <w:p w14:paraId="67C37365" w14:textId="77777777" w:rsidR="00063641" w:rsidRPr="00063641" w:rsidRDefault="00063641" w:rsidP="00063641">
            <w:pPr>
              <w:widowControl w:val="0"/>
              <w:numPr>
                <w:ilvl w:val="1"/>
                <w:numId w:val="27"/>
              </w:numPr>
              <w:tabs>
                <w:tab w:val="num" w:pos="426"/>
              </w:tabs>
              <w:adjustRightInd w:val="0"/>
              <w:spacing w:before="60" w:after="0" w:line="240" w:lineRule="auto"/>
              <w:ind w:left="709" w:hanging="284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gwarancji bankowej;</w:t>
            </w:r>
          </w:p>
          <w:p w14:paraId="502ED9C9" w14:textId="77777777" w:rsidR="00063641" w:rsidRPr="00063641" w:rsidRDefault="00063641" w:rsidP="00063641">
            <w:pPr>
              <w:widowControl w:val="0"/>
              <w:numPr>
                <w:ilvl w:val="1"/>
                <w:numId w:val="27"/>
              </w:numPr>
              <w:tabs>
                <w:tab w:val="num" w:pos="426"/>
              </w:tabs>
              <w:adjustRightInd w:val="0"/>
              <w:spacing w:before="60" w:after="0" w:line="240" w:lineRule="auto"/>
              <w:ind w:left="709" w:hanging="284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gwarancji ubezpieczeniowej;</w:t>
            </w:r>
          </w:p>
          <w:p w14:paraId="3065C3AB" w14:textId="77777777" w:rsidR="00063641" w:rsidRPr="00063641" w:rsidRDefault="00063641" w:rsidP="00063641">
            <w:pPr>
              <w:widowControl w:val="0"/>
              <w:numPr>
                <w:ilvl w:val="1"/>
                <w:numId w:val="27"/>
              </w:numPr>
              <w:tabs>
                <w:tab w:val="num" w:pos="709"/>
              </w:tabs>
              <w:adjustRightInd w:val="0"/>
              <w:spacing w:before="60" w:after="0" w:line="240" w:lineRule="auto"/>
              <w:ind w:left="709" w:hanging="284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lastRenderedPageBreak/>
              <w:t>poręczenia o którym mowa w art. 6b ust. 5 pkt 2 ustawy z dnia 9 listopada 2000 r. o utworzeniu Polskiej Agencji Rozwoju Przedsiębiorczości (Dz. U. 2016 r. poz. 359, z późn. zm.);</w:t>
            </w:r>
          </w:p>
          <w:p w14:paraId="4B10542F" w14:textId="77777777" w:rsidR="00063641" w:rsidRPr="00063641" w:rsidRDefault="00063641" w:rsidP="00063641">
            <w:pPr>
              <w:widowControl w:val="0"/>
              <w:numPr>
                <w:ilvl w:val="1"/>
                <w:numId w:val="27"/>
              </w:numPr>
              <w:tabs>
                <w:tab w:val="num" w:pos="426"/>
              </w:tabs>
              <w:adjustRightInd w:val="0"/>
              <w:spacing w:before="60" w:after="0" w:line="240" w:lineRule="auto"/>
              <w:ind w:left="709" w:hanging="284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weksla z poręczeniem wekslowym banku lub spółdzielczej kasy oszczędnościowo-kredytowej;</w:t>
            </w:r>
          </w:p>
          <w:p w14:paraId="4C7A597A" w14:textId="77777777" w:rsidR="00063641" w:rsidRPr="00063641" w:rsidRDefault="00063641" w:rsidP="00063641">
            <w:pPr>
              <w:widowControl w:val="0"/>
              <w:numPr>
                <w:ilvl w:val="1"/>
                <w:numId w:val="27"/>
              </w:numPr>
              <w:tabs>
                <w:tab w:val="num" w:pos="709"/>
              </w:tabs>
              <w:adjustRightInd w:val="0"/>
              <w:spacing w:before="60" w:after="0" w:line="240" w:lineRule="auto"/>
              <w:ind w:left="709" w:hanging="284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zastawu na papierach wartościowych emitowanych przez Skarb Państwa lub jednostkę samorządu terytorialnego;</w:t>
            </w:r>
          </w:p>
          <w:p w14:paraId="0CC78553" w14:textId="77777777" w:rsidR="00063641" w:rsidRPr="00063641" w:rsidRDefault="00063641" w:rsidP="00063641">
            <w:pPr>
              <w:widowControl w:val="0"/>
              <w:numPr>
                <w:ilvl w:val="1"/>
                <w:numId w:val="27"/>
              </w:numPr>
              <w:tabs>
                <w:tab w:val="num" w:pos="567"/>
              </w:tabs>
              <w:adjustRightInd w:val="0"/>
              <w:spacing w:before="60" w:after="0" w:line="240" w:lineRule="auto"/>
              <w:ind w:left="709" w:hanging="284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zastawu rejestrowego na zasadach określonych w przepisach o zastawie rejestrowym i rejestrze zastawów; </w:t>
            </w:r>
          </w:p>
          <w:p w14:paraId="5D52791F" w14:textId="77777777" w:rsidR="00063641" w:rsidRPr="00063641" w:rsidRDefault="00063641" w:rsidP="00063641">
            <w:pPr>
              <w:widowControl w:val="0"/>
              <w:numPr>
                <w:ilvl w:val="1"/>
                <w:numId w:val="27"/>
              </w:numPr>
              <w:tabs>
                <w:tab w:val="num" w:pos="426"/>
              </w:tabs>
              <w:adjustRightInd w:val="0"/>
              <w:spacing w:before="60" w:after="0" w:line="240" w:lineRule="auto"/>
              <w:ind w:left="709" w:hanging="284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przewłaszczenia rzeczy ruchomych Beneficjenta na zabezpieczenie;</w:t>
            </w:r>
          </w:p>
          <w:p w14:paraId="3FFD8E67" w14:textId="77777777" w:rsidR="00063641" w:rsidRPr="00063641" w:rsidRDefault="00063641" w:rsidP="00063641">
            <w:pPr>
              <w:widowControl w:val="0"/>
              <w:numPr>
                <w:ilvl w:val="1"/>
                <w:numId w:val="27"/>
              </w:numPr>
              <w:tabs>
                <w:tab w:val="num" w:pos="426"/>
              </w:tabs>
              <w:adjustRightInd w:val="0"/>
              <w:spacing w:before="60" w:after="0" w:line="240" w:lineRule="auto"/>
              <w:ind w:left="709" w:hanging="425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hipoteki;</w:t>
            </w:r>
          </w:p>
          <w:p w14:paraId="7D4CCDB8" w14:textId="77777777" w:rsidR="00063641" w:rsidRPr="00063641" w:rsidRDefault="00063641" w:rsidP="00063641">
            <w:pPr>
              <w:widowControl w:val="0"/>
              <w:numPr>
                <w:ilvl w:val="1"/>
                <w:numId w:val="27"/>
              </w:numPr>
              <w:tabs>
                <w:tab w:val="num" w:pos="426"/>
              </w:tabs>
              <w:adjustRightInd w:val="0"/>
              <w:spacing w:before="60" w:after="0" w:line="240" w:lineRule="auto"/>
              <w:ind w:left="709" w:hanging="425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poręczenia według prawa cywilnego.</w:t>
            </w:r>
          </w:p>
          <w:p w14:paraId="067D16EA" w14:textId="77777777" w:rsidR="00063641" w:rsidRPr="00063641" w:rsidRDefault="00063641" w:rsidP="00063641">
            <w:pPr>
              <w:widowControl w:val="0"/>
              <w:suppressAutoHyphens/>
              <w:spacing w:before="60"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13" w:type="dxa"/>
          </w:tcPr>
          <w:p w14:paraId="07E4C748" w14:textId="77777777" w:rsidR="00063641" w:rsidRPr="00063641" w:rsidRDefault="00063641" w:rsidP="00063641">
            <w:pPr>
              <w:widowControl w:val="0"/>
              <w:suppressAutoHyphens/>
              <w:spacing w:before="60"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  <w:lastRenderedPageBreak/>
              <w:t>-</w:t>
            </w:r>
          </w:p>
        </w:tc>
        <w:tc>
          <w:tcPr>
            <w:tcW w:w="4677" w:type="dxa"/>
          </w:tcPr>
          <w:p w14:paraId="6EBDD870" w14:textId="2054D2C0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>Usunięcie zapisu</w:t>
            </w:r>
            <w:r w:rsidR="00AE40CC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 xml:space="preserve"> z uwagi na p</w:t>
            </w: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>owiel</w:t>
            </w:r>
            <w:r w:rsidR="00AE40CC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>a</w:t>
            </w: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 xml:space="preserve">nie zapisów </w:t>
            </w:r>
            <w:r w:rsidRPr="00063641">
              <w:rPr>
                <w:rFonts w:asciiTheme="minorHAnsi" w:eastAsia="Times New Roman" w:hAnsiTheme="minorHAnsi" w:cs="Arial"/>
                <w:i/>
                <w:sz w:val="20"/>
                <w:szCs w:val="20"/>
                <w:lang w:eastAsia="pl-PL"/>
              </w:rPr>
              <w:t>Rozporządzenia Ministra Rozwoju Regionalnego z dnia 18 grudnia 2009 r. w sprawie warunków i trybu udzielania i rozliczania zaliczek oraz zakresu i terminów składania wniosków o płatność w ramach programów finansowanych z udziałem środków europejskich.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</w:p>
          <w:p w14:paraId="0425453D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lastRenderedPageBreak/>
              <w:t>Odwołanie do ww. zapisów znajduje się w</w:t>
            </w:r>
            <w:r w:rsidRPr="00063641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 xml:space="preserve">§ 15 </w:t>
            </w:r>
          </w:p>
          <w:p w14:paraId="24DDF513" w14:textId="77777777" w:rsidR="00063641" w:rsidRPr="00063641" w:rsidRDefault="00063641" w:rsidP="00063641">
            <w:pPr>
              <w:suppressAutoHyphens/>
              <w:autoSpaceDN w:val="0"/>
              <w:spacing w:after="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ust. 1 w przypisie nr 25</w:t>
            </w:r>
          </w:p>
        </w:tc>
      </w:tr>
      <w:tr w:rsidR="00063641" w:rsidRPr="00063641" w14:paraId="130B2FD2" w14:textId="77777777" w:rsidTr="003E6490">
        <w:tc>
          <w:tcPr>
            <w:tcW w:w="710" w:type="dxa"/>
            <w:vAlign w:val="center"/>
          </w:tcPr>
          <w:p w14:paraId="5F1635B4" w14:textId="77777777" w:rsidR="00063641" w:rsidRPr="00063641" w:rsidRDefault="00063641" w:rsidP="00063641">
            <w:pPr>
              <w:widowControl w:val="0"/>
              <w:numPr>
                <w:ilvl w:val="0"/>
                <w:numId w:val="35"/>
              </w:numPr>
              <w:adjustRightInd w:val="0"/>
              <w:spacing w:after="0" w:line="240" w:lineRule="auto"/>
              <w:contextualSpacing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2172084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>§ 29 ust. 4</w:t>
            </w:r>
          </w:p>
        </w:tc>
        <w:tc>
          <w:tcPr>
            <w:tcW w:w="3826" w:type="dxa"/>
          </w:tcPr>
          <w:p w14:paraId="7C4757E5" w14:textId="77777777" w:rsidR="00063641" w:rsidRPr="00063641" w:rsidRDefault="00063641" w:rsidP="00063641">
            <w:pPr>
              <w:suppressAutoHyphens/>
              <w:autoSpaceDN w:val="0"/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Beneficjent zobowiązuje się do zachowania trwałości utworzonych w ramach Projektu miejsc świadczenia usług w mieszkaniach wspomaganych po zakończeniu realizacji 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lastRenderedPageBreak/>
              <w:t>Projektu, co najmniej przez okres odpowiadający okresowi realizacji Projektu.</w:t>
            </w:r>
          </w:p>
          <w:p w14:paraId="5803D46A" w14:textId="77777777" w:rsidR="00063641" w:rsidRPr="00063641" w:rsidRDefault="00063641" w:rsidP="00063641">
            <w:pPr>
              <w:spacing w:before="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4113" w:type="dxa"/>
          </w:tcPr>
          <w:p w14:paraId="25F8D9D3" w14:textId="77777777" w:rsidR="00063641" w:rsidRPr="00063641" w:rsidRDefault="00063641" w:rsidP="00063641">
            <w:pPr>
              <w:suppressAutoHyphens/>
              <w:autoSpaceDN w:val="0"/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lastRenderedPageBreak/>
              <w:t xml:space="preserve">Beneficjent zobowiązuje się do zachowania trwałości utworzonych w ramach Projektu miejsc świadczenia usług w </w:t>
            </w:r>
            <w:r w:rsidRPr="00063641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mieszkaniach chronionych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lub mieszkaniach wspomaganych 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lastRenderedPageBreak/>
              <w:t>po zakończeniu realizacji Projektu, co najmniej przez okres odpowiadający okresowi realizacji Projektu.</w:t>
            </w:r>
          </w:p>
          <w:p w14:paraId="56C93C08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</w:tcPr>
          <w:p w14:paraId="0110EA95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lastRenderedPageBreak/>
              <w:t>Wprowadzenie zmiany związane jest z wymogiem wynikającym z „</w:t>
            </w:r>
            <w:r w:rsidRPr="00063641">
              <w:rPr>
                <w:rFonts w:asciiTheme="minorHAnsi" w:eastAsia="Times New Roman" w:hAnsiTheme="minorHAnsi" w:cs="Arial"/>
                <w:i/>
                <w:sz w:val="20"/>
                <w:szCs w:val="20"/>
                <w:lang w:eastAsia="pl-PL"/>
              </w:rPr>
              <w:t xml:space="preserve">Wytycznych w zakresie realizacji przedsięwzięć w obszarze włączenia społecznego i zwalczania ubóstwa z wykorzystaniem środków Europejskiego Funduszu Społecznego i Europejskiego </w:t>
            </w:r>
            <w:r w:rsidRPr="00063641">
              <w:rPr>
                <w:rFonts w:asciiTheme="minorHAnsi" w:eastAsia="Times New Roman" w:hAnsiTheme="minorHAnsi" w:cs="Arial"/>
                <w:i/>
                <w:sz w:val="20"/>
                <w:szCs w:val="20"/>
                <w:lang w:eastAsia="pl-PL"/>
              </w:rPr>
              <w:lastRenderedPageBreak/>
              <w:t>Funduszu Rozwoju Regionalnego na lata 2014-2020”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, Podrozdział 6.4 pkt. 5, zgodnie z którym IZ RPO powinna zapewnić w umowie o dofinansowanie zawarcie postanowień związanych z trwałością miejsc zarówno w mieszkaniach chronionych jak i mieszkaniach wspomaganych.</w:t>
            </w:r>
          </w:p>
          <w:p w14:paraId="01040A48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</w:p>
        </w:tc>
      </w:tr>
      <w:tr w:rsidR="00063641" w:rsidRPr="00063641" w14:paraId="1FDAED3C" w14:textId="77777777" w:rsidTr="003E6490">
        <w:tc>
          <w:tcPr>
            <w:tcW w:w="710" w:type="dxa"/>
            <w:vAlign w:val="center"/>
          </w:tcPr>
          <w:p w14:paraId="2F364B17" w14:textId="77777777" w:rsidR="00063641" w:rsidRPr="00063641" w:rsidRDefault="00063641" w:rsidP="00063641">
            <w:pPr>
              <w:widowControl w:val="0"/>
              <w:numPr>
                <w:ilvl w:val="0"/>
                <w:numId w:val="35"/>
              </w:numPr>
              <w:adjustRightInd w:val="0"/>
              <w:spacing w:after="0" w:line="240" w:lineRule="auto"/>
              <w:contextualSpacing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0EB7A99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>§ 33 ust. 12</w:t>
            </w:r>
          </w:p>
        </w:tc>
        <w:tc>
          <w:tcPr>
            <w:tcW w:w="3826" w:type="dxa"/>
          </w:tcPr>
          <w:p w14:paraId="74CB1B7B" w14:textId="77777777" w:rsidR="00063641" w:rsidRPr="00063641" w:rsidRDefault="00063641" w:rsidP="00063641">
            <w:pPr>
              <w:spacing w:before="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rozporządzenia Ministra Finansów z dnia 21 grudnia 2012 r. w sprawie płatności w ramach programów finansowanych z udziałem środków europejskich oraz przekazywania informacji dotyczących tych płatności (Dz. U. z 2016 r. poz. 75)</w:t>
            </w:r>
          </w:p>
        </w:tc>
        <w:tc>
          <w:tcPr>
            <w:tcW w:w="4113" w:type="dxa"/>
          </w:tcPr>
          <w:p w14:paraId="2EEA2263" w14:textId="77777777" w:rsidR="00063641" w:rsidRPr="00063641" w:rsidRDefault="00063641" w:rsidP="00063641">
            <w:pPr>
              <w:suppressAutoHyphens/>
              <w:autoSpaceDN w:val="0"/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rozporządzenia Ministra Finansów z dnia 21 grudnia 2012 r. w sprawie płatności w ramach programów finansowanych z udziałem środków europejskich oraz przekazywania informacji dotyczących tych płatności (Dz. U. z 2016 r. poz. 75, z późn. zm.)</w:t>
            </w:r>
          </w:p>
        </w:tc>
        <w:tc>
          <w:tcPr>
            <w:tcW w:w="4677" w:type="dxa"/>
          </w:tcPr>
          <w:p w14:paraId="67360E99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Aktualizacja publikatora prawnego.</w:t>
            </w:r>
          </w:p>
        </w:tc>
      </w:tr>
      <w:tr w:rsidR="00063641" w:rsidRPr="00063641" w14:paraId="44A08CB0" w14:textId="77777777" w:rsidTr="003E6490">
        <w:tc>
          <w:tcPr>
            <w:tcW w:w="710" w:type="dxa"/>
            <w:vAlign w:val="center"/>
          </w:tcPr>
          <w:p w14:paraId="2CCBCE9F" w14:textId="77777777" w:rsidR="00063641" w:rsidRPr="00063641" w:rsidRDefault="00063641" w:rsidP="00063641">
            <w:pPr>
              <w:widowControl w:val="0"/>
              <w:numPr>
                <w:ilvl w:val="0"/>
                <w:numId w:val="35"/>
              </w:numPr>
              <w:adjustRightInd w:val="0"/>
              <w:spacing w:after="0" w:line="240" w:lineRule="auto"/>
              <w:contextualSpacing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21C2699A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>§ 33 ust. 13</w:t>
            </w:r>
          </w:p>
        </w:tc>
        <w:tc>
          <w:tcPr>
            <w:tcW w:w="3826" w:type="dxa"/>
          </w:tcPr>
          <w:p w14:paraId="3A5A097E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rozporządzenia Ministra Rozwoju z dnia 29 stycznia 2016 r. w sprawie warunków obniżania wartości korekt finansowych oraz wydatków poniesionych nieprawidłowo związanych z udzielaniem zamówień (Dz. U. poz. 200).</w:t>
            </w:r>
          </w:p>
          <w:p w14:paraId="2B2B0ABB" w14:textId="77777777" w:rsidR="00063641" w:rsidRPr="00063641" w:rsidRDefault="00063641" w:rsidP="00063641">
            <w:pPr>
              <w:spacing w:before="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4113" w:type="dxa"/>
          </w:tcPr>
          <w:p w14:paraId="2D476740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rozporządzenia Ministra Rozwoju z dnia 29 stycznia 2016 r. w sprawie warunków obniżania wartości korekt finansowych oraz wydatków poniesionych nieprawidłowo związanych z udzielaniem zamówień (Dz. U. poz. 200, z późn. zm.).</w:t>
            </w:r>
          </w:p>
          <w:p w14:paraId="2750C862" w14:textId="77777777" w:rsidR="00063641" w:rsidRPr="00063641" w:rsidRDefault="00063641" w:rsidP="00063641">
            <w:pPr>
              <w:suppressAutoHyphens/>
              <w:autoSpaceDN w:val="0"/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</w:tcPr>
          <w:p w14:paraId="6124320A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Aktualizacja publikatora prawnego.</w:t>
            </w:r>
          </w:p>
        </w:tc>
      </w:tr>
      <w:tr w:rsidR="00063641" w:rsidRPr="00063641" w14:paraId="27278223" w14:textId="77777777" w:rsidTr="003E6490">
        <w:tc>
          <w:tcPr>
            <w:tcW w:w="710" w:type="dxa"/>
            <w:vAlign w:val="center"/>
          </w:tcPr>
          <w:p w14:paraId="5E421AB8" w14:textId="77777777" w:rsidR="00063641" w:rsidRPr="00063641" w:rsidRDefault="00063641" w:rsidP="00063641">
            <w:pPr>
              <w:widowControl w:val="0"/>
              <w:numPr>
                <w:ilvl w:val="0"/>
                <w:numId w:val="35"/>
              </w:numPr>
              <w:adjustRightInd w:val="0"/>
              <w:spacing w:after="0" w:line="240" w:lineRule="auto"/>
              <w:contextualSpacing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2907FC6E" w14:textId="77777777" w:rsidR="00063641" w:rsidRPr="00063641" w:rsidRDefault="00063641" w:rsidP="00063641">
            <w:pPr>
              <w:keepNext/>
              <w:widowControl w:val="0"/>
              <w:adjustRightInd w:val="0"/>
              <w:spacing w:before="240" w:after="60" w:line="240" w:lineRule="auto"/>
              <w:outlineLvl w:val="2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>Załącznik 10</w:t>
            </w:r>
          </w:p>
        </w:tc>
        <w:tc>
          <w:tcPr>
            <w:tcW w:w="3826" w:type="dxa"/>
          </w:tcPr>
          <w:p w14:paraId="326BDDE8" w14:textId="77777777" w:rsidR="00063641" w:rsidRPr="00063641" w:rsidRDefault="00063641" w:rsidP="00063641">
            <w:pPr>
              <w:spacing w:before="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4113" w:type="dxa"/>
          </w:tcPr>
          <w:p w14:paraId="6F2CCDDE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Usunięto trzy wersje monochromatyczne logotypu  oraz słowo </w:t>
            </w:r>
            <w:r w:rsidRPr="0006364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  <w:t xml:space="preserve">„monochromatyczne” </w:t>
            </w: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z pkt. 6.4 pn. „W jakich wersjach kolorystycznych można stosować znaki Fundusze Europejskie i Unia Europejska?”</w:t>
            </w:r>
          </w:p>
        </w:tc>
        <w:tc>
          <w:tcPr>
            <w:tcW w:w="4677" w:type="dxa"/>
          </w:tcPr>
          <w:p w14:paraId="24E2AD85" w14:textId="77777777" w:rsidR="00063641" w:rsidRPr="00063641" w:rsidRDefault="00063641" w:rsidP="0006364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t xml:space="preserve">W związku z modyfikacją Księgi identyfikacji wizualnej znaku marki Fundusze Europejskie </w:t>
            </w:r>
            <w:r w:rsidRPr="00063641">
              <w:rPr>
                <w:rFonts w:asciiTheme="minorHAnsi" w:eastAsia="Times New Roman" w:hAnsiTheme="minorHAnsi" w:cs="Arial"/>
                <w:bCs/>
                <w:sz w:val="20"/>
                <w:szCs w:val="20"/>
                <w:lang w:eastAsia="pl-PL"/>
              </w:rPr>
              <w:br/>
              <w:t>i znaków programów polityki spójności na lata 2014-2020.</w:t>
            </w:r>
          </w:p>
        </w:tc>
      </w:tr>
      <w:tr w:rsidR="00063641" w:rsidRPr="00063641" w14:paraId="6E68ED6F" w14:textId="77777777" w:rsidTr="003E6490">
        <w:tc>
          <w:tcPr>
            <w:tcW w:w="710" w:type="dxa"/>
          </w:tcPr>
          <w:p w14:paraId="31B842BF" w14:textId="77777777" w:rsidR="00063641" w:rsidRPr="00063641" w:rsidRDefault="00063641" w:rsidP="00063641">
            <w:pPr>
              <w:widowControl w:val="0"/>
              <w:numPr>
                <w:ilvl w:val="0"/>
                <w:numId w:val="35"/>
              </w:numPr>
              <w:adjustRightInd w:val="0"/>
              <w:spacing w:after="0" w:line="240" w:lineRule="auto"/>
              <w:contextualSpacing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14459" w:type="dxa"/>
            <w:gridSpan w:val="4"/>
          </w:tcPr>
          <w:p w14:paraId="04E55E8D" w14:textId="77777777" w:rsidR="00063641" w:rsidRPr="00063641" w:rsidRDefault="00063641" w:rsidP="00063641">
            <w:pPr>
              <w:widowControl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Zmiany redakcyjne wynikające z wprowadzenia zmian do zapisów umowy, zmiany numeracji przypisów dolnych, paragrafów, ustępów i </w:t>
            </w:r>
            <w:proofErr w:type="spellStart"/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odwołań</w:t>
            </w:r>
            <w:proofErr w:type="spellEnd"/>
            <w:r w:rsidRPr="0006364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do nich.</w:t>
            </w:r>
          </w:p>
        </w:tc>
      </w:tr>
    </w:tbl>
    <w:p w14:paraId="6CBEE44C" w14:textId="77777777" w:rsidR="00D17F43" w:rsidRDefault="00D17F43" w:rsidP="008F6B0D">
      <w:pPr>
        <w:spacing w:after="0" w:line="312" w:lineRule="auto"/>
        <w:jc w:val="both"/>
        <w:rPr>
          <w:rFonts w:eastAsia="Times New Roman" w:cs="Arial"/>
          <w:sz w:val="20"/>
          <w:szCs w:val="20"/>
        </w:rPr>
      </w:pPr>
    </w:p>
    <w:p w14:paraId="4A69AD97" w14:textId="77777777" w:rsidR="00E52222" w:rsidRPr="008F6B0D" w:rsidRDefault="008F6B0D" w:rsidP="008F6B0D">
      <w:pPr>
        <w:spacing w:after="0" w:line="312" w:lineRule="auto"/>
        <w:jc w:val="both"/>
        <w:rPr>
          <w:rFonts w:cs="Arial"/>
          <w:b/>
          <w:sz w:val="20"/>
          <w:szCs w:val="20"/>
        </w:rPr>
      </w:pPr>
      <w:r w:rsidRPr="008F6B0D">
        <w:rPr>
          <w:rFonts w:eastAsia="Times New Roman" w:cs="Arial"/>
          <w:sz w:val="20"/>
          <w:szCs w:val="20"/>
        </w:rPr>
        <w:lastRenderedPageBreak/>
        <w:t xml:space="preserve">Pozostałe postanowienia przedmiotowych załączników pozostają bez zmian. Wprowadzone zmiany stosuje się z dniem ogłoszenia. Załączniki </w:t>
      </w:r>
      <w:r w:rsidRPr="008F6B0D">
        <w:rPr>
          <w:rFonts w:cs="Arial"/>
          <w:sz w:val="20"/>
          <w:szCs w:val="20"/>
        </w:rPr>
        <w:t xml:space="preserve">do ogłoszonego konkursu </w:t>
      </w:r>
      <w:r w:rsidRPr="008F6B0D">
        <w:rPr>
          <w:rFonts w:eastAsia="Times New Roman" w:cs="Arial"/>
          <w:sz w:val="20"/>
          <w:szCs w:val="20"/>
        </w:rPr>
        <w:t>zaktualizowano zgodnie z opisanymi powyżej zmianami</w:t>
      </w:r>
      <w:r>
        <w:rPr>
          <w:rFonts w:eastAsia="Times New Roman" w:cs="Arial"/>
          <w:sz w:val="20"/>
          <w:szCs w:val="20"/>
        </w:rPr>
        <w:t>.</w:t>
      </w:r>
    </w:p>
    <w:sectPr w:rsidR="00E52222" w:rsidRPr="008F6B0D" w:rsidSect="00E52222">
      <w:headerReference w:type="default" r:id="rId11"/>
      <w:footerReference w:type="default" r:id="rId12"/>
      <w:pgSz w:w="16838" w:h="11906" w:orient="landscape"/>
      <w:pgMar w:top="2410" w:right="1387" w:bottom="1274" w:left="1134" w:header="567" w:footer="8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9F92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3FD98" w14:textId="77777777" w:rsidR="002D616F" w:rsidRDefault="002D616F" w:rsidP="004A748E">
      <w:pPr>
        <w:spacing w:after="0" w:line="240" w:lineRule="auto"/>
      </w:pPr>
      <w:r>
        <w:separator/>
      </w:r>
    </w:p>
  </w:endnote>
  <w:endnote w:type="continuationSeparator" w:id="0">
    <w:p w14:paraId="5E5A6B04" w14:textId="77777777" w:rsidR="002D616F" w:rsidRDefault="002D616F" w:rsidP="004A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C2B40" w14:textId="77777777" w:rsidR="00C623DD" w:rsidRPr="00FE7928" w:rsidRDefault="00C5032B" w:rsidP="00FE792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0820EED1" wp14:editId="72768E6E">
          <wp:simplePos x="0" y="0"/>
          <wp:positionH relativeFrom="margin">
            <wp:posOffset>-438785</wp:posOffset>
          </wp:positionH>
          <wp:positionV relativeFrom="paragraph">
            <wp:posOffset>-399415</wp:posOffset>
          </wp:positionV>
          <wp:extent cx="6724650" cy="790575"/>
          <wp:effectExtent l="0" t="0" r="0" b="9525"/>
          <wp:wrapNone/>
          <wp:docPr id="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1538"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69E45" w14:textId="77777777" w:rsidR="00B02579" w:rsidRPr="00FE7928" w:rsidRDefault="00C5032B" w:rsidP="00C5032B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42439AC" wp14:editId="6CC54C68">
          <wp:extent cx="6724650" cy="792480"/>
          <wp:effectExtent l="0" t="0" r="0" b="762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615F2" w14:textId="77777777" w:rsidR="002D616F" w:rsidRDefault="002D616F" w:rsidP="004A748E">
      <w:pPr>
        <w:spacing w:after="0" w:line="240" w:lineRule="auto"/>
      </w:pPr>
      <w:r>
        <w:separator/>
      </w:r>
    </w:p>
  </w:footnote>
  <w:footnote w:type="continuationSeparator" w:id="0">
    <w:p w14:paraId="00A3422E" w14:textId="77777777" w:rsidR="002D616F" w:rsidRDefault="002D616F" w:rsidP="004A7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3F56E" w14:textId="77777777" w:rsidR="00C623DD" w:rsidRDefault="0015582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A892AAB" wp14:editId="6B36A122">
              <wp:simplePos x="0" y="0"/>
              <wp:positionH relativeFrom="column">
                <wp:posOffset>-295910</wp:posOffset>
              </wp:positionH>
              <wp:positionV relativeFrom="paragraph">
                <wp:posOffset>97155</wp:posOffset>
              </wp:positionV>
              <wp:extent cx="2943225" cy="699770"/>
              <wp:effectExtent l="0" t="0" r="9525" b="508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11236" w14:textId="77777777" w:rsidR="00BE06F2" w:rsidRPr="00BE06F2" w:rsidRDefault="00BE06F2" w:rsidP="00BE06F2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BE06F2"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Mazowiecka Jednostka Wdrażania Programów Unijnych</w:t>
                          </w:r>
                        </w:p>
                        <w:p w14:paraId="71F49920" w14:textId="77777777" w:rsidR="00BE06F2" w:rsidRPr="00BE06F2" w:rsidRDefault="00BE06F2" w:rsidP="00BE06F2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BE06F2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ul. Jagiellońska 74, 03-301 Warszawa</w:t>
                          </w:r>
                        </w:p>
                        <w:p w14:paraId="4FA355F6" w14:textId="77777777" w:rsidR="00BE06F2" w:rsidRPr="00AA01F3" w:rsidRDefault="00BE06F2" w:rsidP="00BE06F2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AA01F3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tel. (22) 542 20 00, fax (22) 698 31 44</w:t>
                          </w:r>
                        </w:p>
                        <w:p w14:paraId="4825A997" w14:textId="77777777" w:rsidR="00BE06F2" w:rsidRPr="00BE06F2" w:rsidRDefault="00BE06F2" w:rsidP="00BE06F2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 w:rsidRPr="00BE06F2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 w:rsidRPr="00BE06F2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: mjwpu@mazowia.eu, www.mazowia.eu </w:t>
                          </w:r>
                          <w:r w:rsidRPr="00BE06F2"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www.fundusze</w:t>
                          </w:r>
                          <w:r w:rsidRPr="00BE06F2">
                            <w:rPr>
                              <w:rFonts w:cs="Arial"/>
                              <w:b/>
                              <w:sz w:val="18"/>
                              <w:szCs w:val="18"/>
                              <w:lang w:val="de-DE"/>
                            </w:rPr>
                            <w:t>dla</w:t>
                          </w:r>
                          <w:r w:rsidRPr="00BE06F2"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mazowsza.eu </w:t>
                          </w:r>
                        </w:p>
                        <w:p w14:paraId="67E7DCEC" w14:textId="77777777" w:rsidR="00C623DD" w:rsidRPr="00AF72D7" w:rsidRDefault="00C623DD" w:rsidP="002C6F3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A892AA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23.3pt;margin-top:7.65pt;width:231.75pt;height:55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" stroked="f">
              <v:textbox inset=".5mm,.5mm,.5mm,.5mm">
                <w:txbxContent>
                  <w:p w14:paraId="68111236" w14:textId="77777777" w:rsidR="00BE06F2" w:rsidRPr="00BE06F2" w:rsidRDefault="00BE06F2" w:rsidP="00BE06F2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BE06F2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Mazowiecka Jednostka Wdrażania Programów Unijnych</w:t>
                    </w:r>
                  </w:p>
                  <w:p w14:paraId="71F49920" w14:textId="77777777" w:rsidR="00BE06F2" w:rsidRPr="00BE06F2" w:rsidRDefault="00BE06F2" w:rsidP="00BE06F2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</w:pPr>
                    <w:r w:rsidRPr="00BE06F2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ul. Jagiellońska 74, 03-301 Warszawa</w:t>
                    </w:r>
                  </w:p>
                  <w:p w14:paraId="4FA355F6" w14:textId="77777777" w:rsidR="00BE06F2" w:rsidRPr="00AA01F3" w:rsidRDefault="00BE06F2" w:rsidP="00BE06F2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AA01F3"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  <w:t>tel. (22) 542 20 00, fax (22) 698 31 44</w:t>
                    </w:r>
                  </w:p>
                  <w:p w14:paraId="4825A997" w14:textId="77777777" w:rsidR="00BE06F2" w:rsidRPr="00BE06F2" w:rsidRDefault="00BE06F2" w:rsidP="00BE06F2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</w:pPr>
                    <w:proofErr w:type="spellStart"/>
                    <w:r w:rsidRPr="00BE06F2"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 w:rsidRPr="00BE06F2"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: mjwpu@mazowia.eu, www.mazowia.eu </w:t>
                    </w:r>
                    <w:r w:rsidRPr="00BE06F2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>www.fundusze</w:t>
                    </w:r>
                    <w:r w:rsidRPr="00BE06F2">
                      <w:rPr>
                        <w:rFonts w:cs="Arial"/>
                        <w:b/>
                        <w:sz w:val="18"/>
                        <w:szCs w:val="18"/>
                        <w:lang w:val="de-DE"/>
                      </w:rPr>
                      <w:t>dla</w:t>
                    </w:r>
                    <w:r w:rsidRPr="00BE06F2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mazowsza.eu </w:t>
                    </w:r>
                  </w:p>
                  <w:p w14:paraId="67E7DCEC" w14:textId="77777777" w:rsidR="00C623DD" w:rsidRPr="00AF72D7" w:rsidRDefault="00C623DD" w:rsidP="002C6F33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8FB74FF" w14:textId="77777777" w:rsidR="00C623DD" w:rsidRDefault="00BE06F2" w:rsidP="00BE06F2">
    <w:pPr>
      <w:pStyle w:val="Nagwek"/>
      <w:tabs>
        <w:tab w:val="clear" w:pos="4536"/>
        <w:tab w:val="clear" w:pos="9072"/>
        <w:tab w:val="left" w:pos="6930"/>
      </w:tabs>
      <w:ind w:right="-1"/>
    </w:pPr>
    <w:r>
      <w:tab/>
    </w:r>
    <w:r>
      <w:rPr>
        <w:noProof/>
        <w:lang w:eastAsia="pl-PL"/>
      </w:rPr>
      <w:drawing>
        <wp:anchor distT="0" distB="0" distL="114300" distR="114300" simplePos="0" relativeHeight="251664896" behindDoc="1" locked="0" layoutInCell="1" allowOverlap="1" wp14:anchorId="29D08C57" wp14:editId="40A4AA2A">
          <wp:simplePos x="0" y="0"/>
          <wp:positionH relativeFrom="column">
            <wp:posOffset>2961640</wp:posOffset>
          </wp:positionH>
          <wp:positionV relativeFrom="paragraph">
            <wp:posOffset>-283210</wp:posOffset>
          </wp:positionV>
          <wp:extent cx="3362325" cy="1056005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:\Mazowieckie Centrum Funduszy Europejskich\BRANDING\PAPIER FIRMOWY\MJWPU_Logoty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1056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C4342C" w14:textId="77777777" w:rsidR="00C623DD" w:rsidRDefault="00C623D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9B29A" w14:textId="77777777" w:rsidR="00B02579" w:rsidRDefault="0095275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944" behindDoc="1" locked="0" layoutInCell="1" allowOverlap="1" wp14:anchorId="49430F3E" wp14:editId="2CAC8BFA">
          <wp:simplePos x="0" y="0"/>
          <wp:positionH relativeFrom="column">
            <wp:posOffset>6404610</wp:posOffset>
          </wp:positionH>
          <wp:positionV relativeFrom="paragraph">
            <wp:posOffset>-121920</wp:posOffset>
          </wp:positionV>
          <wp:extent cx="3362325" cy="1056005"/>
          <wp:effectExtent l="0" t="0" r="952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:\Mazowieckie Centrum Funduszy Europejskich\BRANDING\PAPIER FIRMOWY\MJWPU_Logoty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1056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582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82B01D" wp14:editId="1AAB2E84">
              <wp:simplePos x="0" y="0"/>
              <wp:positionH relativeFrom="column">
                <wp:posOffset>5715</wp:posOffset>
              </wp:positionH>
              <wp:positionV relativeFrom="paragraph">
                <wp:posOffset>93345</wp:posOffset>
              </wp:positionV>
              <wp:extent cx="3532505" cy="699770"/>
              <wp:effectExtent l="0" t="0" r="0" b="508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250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A4BAE" w14:textId="77777777" w:rsidR="0095275E" w:rsidRPr="00BE06F2" w:rsidRDefault="0095275E" w:rsidP="0095275E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BE06F2"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Mazowiecka Jednostka Wdrażania Programów Unijnych</w:t>
                          </w:r>
                        </w:p>
                        <w:p w14:paraId="42261293" w14:textId="77777777" w:rsidR="0095275E" w:rsidRPr="00BE06F2" w:rsidRDefault="0095275E" w:rsidP="0095275E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BE06F2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ul. Jagiellońska 74, 03-301 Warszawa</w:t>
                          </w:r>
                        </w:p>
                        <w:p w14:paraId="49A36C5D" w14:textId="77777777" w:rsidR="0095275E" w:rsidRPr="00AA01F3" w:rsidRDefault="0095275E" w:rsidP="0095275E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AA01F3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tel. (22) 542 20 00, fax (22) 698 31 44</w:t>
                          </w:r>
                        </w:p>
                        <w:p w14:paraId="1D811942" w14:textId="77777777" w:rsidR="0095275E" w:rsidRPr="00BE06F2" w:rsidRDefault="0095275E" w:rsidP="0095275E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 w:rsidRPr="00BE06F2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 w:rsidRPr="00BE06F2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: mjwpu@mazowia.eu, www.mazowia.eu </w:t>
                          </w:r>
                          <w:r w:rsidRPr="00BE06F2"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www.fundusze</w:t>
                          </w:r>
                          <w:r w:rsidRPr="00BE06F2">
                            <w:rPr>
                              <w:rFonts w:cs="Arial"/>
                              <w:b/>
                              <w:sz w:val="18"/>
                              <w:szCs w:val="18"/>
                              <w:lang w:val="de-DE"/>
                            </w:rPr>
                            <w:t>dla</w:t>
                          </w:r>
                          <w:r w:rsidRPr="00BE06F2"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mazowsza.eu </w:t>
                          </w:r>
                        </w:p>
                        <w:p w14:paraId="7CB2BAE9" w14:textId="77777777" w:rsidR="00B02579" w:rsidRPr="00AF72D7" w:rsidRDefault="00B02579" w:rsidP="0095275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282B01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45pt;margin-top:7.35pt;width:278.15pt;height:5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" stroked="f">
              <v:textbox inset=".5mm,.5mm,.5mm,.5mm">
                <w:txbxContent>
                  <w:p w14:paraId="0AAA4BAE" w14:textId="77777777" w:rsidR="0095275E" w:rsidRPr="00BE06F2" w:rsidRDefault="0095275E" w:rsidP="0095275E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BE06F2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Mazowiecka Jednostka Wdrażania Programów Unijnych</w:t>
                    </w:r>
                  </w:p>
                  <w:p w14:paraId="42261293" w14:textId="77777777" w:rsidR="0095275E" w:rsidRPr="00BE06F2" w:rsidRDefault="0095275E" w:rsidP="0095275E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</w:pPr>
                    <w:r w:rsidRPr="00BE06F2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ul. Jagiellońska 74, 03-301 Warszawa</w:t>
                    </w:r>
                  </w:p>
                  <w:p w14:paraId="49A36C5D" w14:textId="77777777" w:rsidR="0095275E" w:rsidRPr="00AA01F3" w:rsidRDefault="0095275E" w:rsidP="0095275E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AA01F3"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  <w:t>tel. (22) 542 20 00, fax (22) 698 31 44</w:t>
                    </w:r>
                  </w:p>
                  <w:p w14:paraId="1D811942" w14:textId="77777777" w:rsidR="0095275E" w:rsidRPr="00BE06F2" w:rsidRDefault="0095275E" w:rsidP="0095275E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</w:pPr>
                    <w:proofErr w:type="spellStart"/>
                    <w:r w:rsidRPr="00BE06F2"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 w:rsidRPr="00BE06F2"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: mjwpu@mazowia.eu, www.mazowia.eu </w:t>
                    </w:r>
                    <w:r w:rsidRPr="00BE06F2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>www.fundusze</w:t>
                    </w:r>
                    <w:r w:rsidRPr="00BE06F2">
                      <w:rPr>
                        <w:rFonts w:cs="Arial"/>
                        <w:b/>
                        <w:sz w:val="18"/>
                        <w:szCs w:val="18"/>
                        <w:lang w:val="de-DE"/>
                      </w:rPr>
                      <w:t>dla</w:t>
                    </w:r>
                    <w:r w:rsidRPr="00BE06F2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mazowsza.eu </w:t>
                    </w:r>
                  </w:p>
                  <w:p w14:paraId="7CB2BAE9" w14:textId="77777777" w:rsidR="00B02579" w:rsidRPr="00AF72D7" w:rsidRDefault="00B02579" w:rsidP="0095275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075B6BB" w14:textId="77777777" w:rsidR="00B02579" w:rsidRDefault="00B02579" w:rsidP="002C6F33">
    <w:pPr>
      <w:pStyle w:val="Nagwek"/>
      <w:ind w:right="-1"/>
    </w:pPr>
  </w:p>
  <w:p w14:paraId="4EEFF647" w14:textId="77777777" w:rsidR="00B02579" w:rsidRDefault="00B025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3FE9"/>
    <w:multiLevelType w:val="hybridMultilevel"/>
    <w:tmpl w:val="046A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461C8"/>
    <w:multiLevelType w:val="hybridMultilevel"/>
    <w:tmpl w:val="6650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9F9"/>
    <w:multiLevelType w:val="hybridMultilevel"/>
    <w:tmpl w:val="2DB00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002FA"/>
    <w:multiLevelType w:val="hybridMultilevel"/>
    <w:tmpl w:val="E108AB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6467B"/>
    <w:multiLevelType w:val="hybridMultilevel"/>
    <w:tmpl w:val="380C7EBC"/>
    <w:lvl w:ilvl="0" w:tplc="74705ADE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B5A43"/>
    <w:multiLevelType w:val="hybridMultilevel"/>
    <w:tmpl w:val="03B812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6169BF"/>
    <w:multiLevelType w:val="hybridMultilevel"/>
    <w:tmpl w:val="150CB4CC"/>
    <w:lvl w:ilvl="0" w:tplc="C98C938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B0658E9"/>
    <w:multiLevelType w:val="hybridMultilevel"/>
    <w:tmpl w:val="99BA1A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632DA"/>
    <w:multiLevelType w:val="hybridMultilevel"/>
    <w:tmpl w:val="3F921DE6"/>
    <w:lvl w:ilvl="0" w:tplc="C102F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B344A"/>
    <w:multiLevelType w:val="hybridMultilevel"/>
    <w:tmpl w:val="7DC2F23E"/>
    <w:lvl w:ilvl="0" w:tplc="E78EDAEE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0">
    <w:nsid w:val="1EBD5DC9"/>
    <w:multiLevelType w:val="hybridMultilevel"/>
    <w:tmpl w:val="5066A886"/>
    <w:lvl w:ilvl="0" w:tplc="89482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35A12"/>
    <w:multiLevelType w:val="hybridMultilevel"/>
    <w:tmpl w:val="66343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B344E"/>
    <w:multiLevelType w:val="hybridMultilevel"/>
    <w:tmpl w:val="8BF484D6"/>
    <w:lvl w:ilvl="0" w:tplc="C2E0A2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2A13F0"/>
    <w:multiLevelType w:val="hybridMultilevel"/>
    <w:tmpl w:val="4852D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2B66F0"/>
    <w:multiLevelType w:val="hybridMultilevel"/>
    <w:tmpl w:val="AD0E6F68"/>
    <w:lvl w:ilvl="0" w:tplc="DDA0DF1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6E4CA0"/>
    <w:multiLevelType w:val="hybridMultilevel"/>
    <w:tmpl w:val="AA109F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9BF108F"/>
    <w:multiLevelType w:val="hybridMultilevel"/>
    <w:tmpl w:val="56FC9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8477A"/>
    <w:multiLevelType w:val="hybridMultilevel"/>
    <w:tmpl w:val="97725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782A50"/>
    <w:multiLevelType w:val="hybridMultilevel"/>
    <w:tmpl w:val="0944F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F458E7"/>
    <w:multiLevelType w:val="hybridMultilevel"/>
    <w:tmpl w:val="9D9E3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816528"/>
    <w:multiLevelType w:val="hybridMultilevel"/>
    <w:tmpl w:val="B778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E36BDB"/>
    <w:multiLevelType w:val="hybridMultilevel"/>
    <w:tmpl w:val="F5242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BA0465"/>
    <w:multiLevelType w:val="multilevel"/>
    <w:tmpl w:val="B218F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>
    <w:nsid w:val="5A7E6185"/>
    <w:multiLevelType w:val="hybridMultilevel"/>
    <w:tmpl w:val="FAA8B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637F8D"/>
    <w:multiLevelType w:val="hybridMultilevel"/>
    <w:tmpl w:val="516895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5D2F2470"/>
    <w:multiLevelType w:val="hybridMultilevel"/>
    <w:tmpl w:val="420662C0"/>
    <w:lvl w:ilvl="0" w:tplc="C2E0A2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0408A"/>
    <w:multiLevelType w:val="hybridMultilevel"/>
    <w:tmpl w:val="6F209BAE"/>
    <w:lvl w:ilvl="0" w:tplc="285A8958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7">
    <w:nsid w:val="64142A8E"/>
    <w:multiLevelType w:val="hybridMultilevel"/>
    <w:tmpl w:val="A10AA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24D3F"/>
    <w:multiLevelType w:val="hybridMultilevel"/>
    <w:tmpl w:val="9E92CEBA"/>
    <w:lvl w:ilvl="0" w:tplc="C20A79F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D2F672E"/>
    <w:multiLevelType w:val="hybridMultilevel"/>
    <w:tmpl w:val="02B2C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C0F3C"/>
    <w:multiLevelType w:val="hybridMultilevel"/>
    <w:tmpl w:val="A8FAE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FE5298"/>
    <w:multiLevelType w:val="hybridMultilevel"/>
    <w:tmpl w:val="6650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B7589"/>
    <w:multiLevelType w:val="hybridMultilevel"/>
    <w:tmpl w:val="D6CC0E46"/>
    <w:lvl w:ilvl="0" w:tplc="FFFFFFFF">
      <w:start w:val="1"/>
      <w:numFmt w:val="bullet"/>
      <w:lvlText w:val=""/>
      <w:lvlJc w:val="left"/>
      <w:pPr>
        <w:tabs>
          <w:tab w:val="num" w:pos="377"/>
        </w:tabs>
        <w:ind w:left="377" w:hanging="377"/>
      </w:pPr>
      <w:rPr>
        <w:rFonts w:ascii="Symbol" w:hAnsi="Symbol" w:hint="default"/>
      </w:rPr>
    </w:lvl>
    <w:lvl w:ilvl="1" w:tplc="67FEE2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BCDCF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7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6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064072"/>
    <w:multiLevelType w:val="hybridMultilevel"/>
    <w:tmpl w:val="881078D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30"/>
  </w:num>
  <w:num w:numId="4">
    <w:abstractNumId w:val="17"/>
  </w:num>
  <w:num w:numId="5">
    <w:abstractNumId w:val="0"/>
  </w:num>
  <w:num w:numId="6">
    <w:abstractNumId w:val="14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5"/>
  </w:num>
  <w:num w:numId="10">
    <w:abstractNumId w:val="5"/>
  </w:num>
  <w:num w:numId="11">
    <w:abstractNumId w:val="23"/>
  </w:num>
  <w:num w:numId="12">
    <w:abstractNumId w:val="16"/>
  </w:num>
  <w:num w:numId="13">
    <w:abstractNumId w:val="11"/>
  </w:num>
  <w:num w:numId="14">
    <w:abstractNumId w:val="20"/>
  </w:num>
  <w:num w:numId="15">
    <w:abstractNumId w:val="8"/>
  </w:num>
  <w:num w:numId="16">
    <w:abstractNumId w:val="2"/>
  </w:num>
  <w:num w:numId="17">
    <w:abstractNumId w:val="18"/>
  </w:num>
  <w:num w:numId="18">
    <w:abstractNumId w:val="29"/>
  </w:num>
  <w:num w:numId="19">
    <w:abstractNumId w:val="31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3"/>
  </w:num>
  <w:num w:numId="23">
    <w:abstractNumId w:val="10"/>
  </w:num>
  <w:num w:numId="24">
    <w:abstractNumId w:val="4"/>
  </w:num>
  <w:num w:numId="25">
    <w:abstractNumId w:val="7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7"/>
  </w:num>
  <w:num w:numId="29">
    <w:abstractNumId w:val="22"/>
  </w:num>
  <w:num w:numId="30">
    <w:abstractNumId w:val="26"/>
  </w:num>
  <w:num w:numId="31">
    <w:abstractNumId w:val="6"/>
  </w:num>
  <w:num w:numId="32">
    <w:abstractNumId w:val="25"/>
  </w:num>
  <w:num w:numId="33">
    <w:abstractNumId w:val="33"/>
  </w:num>
  <w:num w:numId="34">
    <w:abstractNumId w:val="28"/>
  </w:num>
  <w:num w:numId="35">
    <w:abstractNumId w:val="12"/>
  </w:num>
  <w:num w:numId="36">
    <w:abstractNumId w:val="2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śniewska Jolanta">
    <w15:presenceInfo w15:providerId="AD" w15:userId="S-1-5-21-3614740060-3577846218-3186316695-101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8E"/>
    <w:rsid w:val="00001F05"/>
    <w:rsid w:val="000031F5"/>
    <w:rsid w:val="00003E85"/>
    <w:rsid w:val="00003FA3"/>
    <w:rsid w:val="00012FD9"/>
    <w:rsid w:val="0001340D"/>
    <w:rsid w:val="00013564"/>
    <w:rsid w:val="00025A20"/>
    <w:rsid w:val="00034BCC"/>
    <w:rsid w:val="00041A25"/>
    <w:rsid w:val="00050976"/>
    <w:rsid w:val="00057E63"/>
    <w:rsid w:val="00063641"/>
    <w:rsid w:val="000714F7"/>
    <w:rsid w:val="00072818"/>
    <w:rsid w:val="00072AA4"/>
    <w:rsid w:val="00081CCE"/>
    <w:rsid w:val="00083423"/>
    <w:rsid w:val="000A231C"/>
    <w:rsid w:val="000A2B55"/>
    <w:rsid w:val="000A2F8B"/>
    <w:rsid w:val="000A3B5A"/>
    <w:rsid w:val="000B1B22"/>
    <w:rsid w:val="000B31C1"/>
    <w:rsid w:val="000B5A1C"/>
    <w:rsid w:val="000C00F8"/>
    <w:rsid w:val="000C2C0E"/>
    <w:rsid w:val="000C6B33"/>
    <w:rsid w:val="000C6D48"/>
    <w:rsid w:val="000C7472"/>
    <w:rsid w:val="000D73DF"/>
    <w:rsid w:val="000E016B"/>
    <w:rsid w:val="000E0DD8"/>
    <w:rsid w:val="000E5BAF"/>
    <w:rsid w:val="000E5F92"/>
    <w:rsid w:val="000F331B"/>
    <w:rsid w:val="000F34A2"/>
    <w:rsid w:val="000F75EA"/>
    <w:rsid w:val="00100494"/>
    <w:rsid w:val="0010684E"/>
    <w:rsid w:val="001123A0"/>
    <w:rsid w:val="00113072"/>
    <w:rsid w:val="00113BBF"/>
    <w:rsid w:val="00132AE0"/>
    <w:rsid w:val="00136CB8"/>
    <w:rsid w:val="00143652"/>
    <w:rsid w:val="0014463F"/>
    <w:rsid w:val="00146054"/>
    <w:rsid w:val="001538DA"/>
    <w:rsid w:val="0015582E"/>
    <w:rsid w:val="00155AD8"/>
    <w:rsid w:val="0016059F"/>
    <w:rsid w:val="00161C08"/>
    <w:rsid w:val="00163364"/>
    <w:rsid w:val="00170142"/>
    <w:rsid w:val="00171C6E"/>
    <w:rsid w:val="00174DDD"/>
    <w:rsid w:val="0017728C"/>
    <w:rsid w:val="001858A5"/>
    <w:rsid w:val="00187B1B"/>
    <w:rsid w:val="0019434F"/>
    <w:rsid w:val="001959B6"/>
    <w:rsid w:val="001C05EE"/>
    <w:rsid w:val="001C0F07"/>
    <w:rsid w:val="001C1FB2"/>
    <w:rsid w:val="001D23D3"/>
    <w:rsid w:val="001E1CD3"/>
    <w:rsid w:val="001E2755"/>
    <w:rsid w:val="001F4F58"/>
    <w:rsid w:val="001F67F1"/>
    <w:rsid w:val="00200732"/>
    <w:rsid w:val="00205C83"/>
    <w:rsid w:val="00205DC1"/>
    <w:rsid w:val="00211DB6"/>
    <w:rsid w:val="00215918"/>
    <w:rsid w:val="00234BA3"/>
    <w:rsid w:val="00240F42"/>
    <w:rsid w:val="00247C4E"/>
    <w:rsid w:val="00254847"/>
    <w:rsid w:val="00260DC1"/>
    <w:rsid w:val="00272BC1"/>
    <w:rsid w:val="00290DB9"/>
    <w:rsid w:val="00294864"/>
    <w:rsid w:val="002A6BF2"/>
    <w:rsid w:val="002B10E7"/>
    <w:rsid w:val="002C6F33"/>
    <w:rsid w:val="002D3757"/>
    <w:rsid w:val="002D616F"/>
    <w:rsid w:val="002E0D30"/>
    <w:rsid w:val="002E1D5C"/>
    <w:rsid w:val="002F3DE3"/>
    <w:rsid w:val="003039B8"/>
    <w:rsid w:val="003048C8"/>
    <w:rsid w:val="00330515"/>
    <w:rsid w:val="00336EA1"/>
    <w:rsid w:val="003404EC"/>
    <w:rsid w:val="0034480E"/>
    <w:rsid w:val="003507A4"/>
    <w:rsid w:val="00361267"/>
    <w:rsid w:val="00363202"/>
    <w:rsid w:val="00366C2B"/>
    <w:rsid w:val="00371539"/>
    <w:rsid w:val="0037764B"/>
    <w:rsid w:val="00387B05"/>
    <w:rsid w:val="00393123"/>
    <w:rsid w:val="003C3BD9"/>
    <w:rsid w:val="003D01C1"/>
    <w:rsid w:val="003D5960"/>
    <w:rsid w:val="003D7410"/>
    <w:rsid w:val="003E5C8B"/>
    <w:rsid w:val="003E76FC"/>
    <w:rsid w:val="003F15BB"/>
    <w:rsid w:val="00422621"/>
    <w:rsid w:val="00433488"/>
    <w:rsid w:val="00445819"/>
    <w:rsid w:val="00446601"/>
    <w:rsid w:val="004510A6"/>
    <w:rsid w:val="004550DA"/>
    <w:rsid w:val="00456A93"/>
    <w:rsid w:val="004600A1"/>
    <w:rsid w:val="004634F0"/>
    <w:rsid w:val="00463BF8"/>
    <w:rsid w:val="0048719F"/>
    <w:rsid w:val="004944AD"/>
    <w:rsid w:val="004A748E"/>
    <w:rsid w:val="004B5748"/>
    <w:rsid w:val="004B7B8B"/>
    <w:rsid w:val="004C6654"/>
    <w:rsid w:val="004D5C66"/>
    <w:rsid w:val="004D6857"/>
    <w:rsid w:val="004E0695"/>
    <w:rsid w:val="004E7A57"/>
    <w:rsid w:val="0050697E"/>
    <w:rsid w:val="0050791E"/>
    <w:rsid w:val="00515F94"/>
    <w:rsid w:val="005347A7"/>
    <w:rsid w:val="00535D31"/>
    <w:rsid w:val="00545A4B"/>
    <w:rsid w:val="00551C20"/>
    <w:rsid w:val="00556BDA"/>
    <w:rsid w:val="0056279F"/>
    <w:rsid w:val="005643DF"/>
    <w:rsid w:val="005723E9"/>
    <w:rsid w:val="00574ABB"/>
    <w:rsid w:val="005767F2"/>
    <w:rsid w:val="005A1CF4"/>
    <w:rsid w:val="005B14C1"/>
    <w:rsid w:val="005B1CB3"/>
    <w:rsid w:val="005C7E51"/>
    <w:rsid w:val="005D0F1C"/>
    <w:rsid w:val="005D180D"/>
    <w:rsid w:val="005D5DEA"/>
    <w:rsid w:val="005D6381"/>
    <w:rsid w:val="005D7631"/>
    <w:rsid w:val="005E1DE6"/>
    <w:rsid w:val="005E4FB0"/>
    <w:rsid w:val="005E790D"/>
    <w:rsid w:val="005F6764"/>
    <w:rsid w:val="00603109"/>
    <w:rsid w:val="00605076"/>
    <w:rsid w:val="00627973"/>
    <w:rsid w:val="00627D87"/>
    <w:rsid w:val="00633DA5"/>
    <w:rsid w:val="006343A4"/>
    <w:rsid w:val="0064211B"/>
    <w:rsid w:val="0064789A"/>
    <w:rsid w:val="00652316"/>
    <w:rsid w:val="00654996"/>
    <w:rsid w:val="006552C5"/>
    <w:rsid w:val="00662BA0"/>
    <w:rsid w:val="0066442D"/>
    <w:rsid w:val="00665081"/>
    <w:rsid w:val="00671132"/>
    <w:rsid w:val="006712E4"/>
    <w:rsid w:val="006723B2"/>
    <w:rsid w:val="00672BD9"/>
    <w:rsid w:val="00675C4D"/>
    <w:rsid w:val="006931ED"/>
    <w:rsid w:val="006A4F43"/>
    <w:rsid w:val="006A6704"/>
    <w:rsid w:val="006B6CFD"/>
    <w:rsid w:val="006B6EE5"/>
    <w:rsid w:val="006C5F8D"/>
    <w:rsid w:val="006C7366"/>
    <w:rsid w:val="006D0199"/>
    <w:rsid w:val="006D4249"/>
    <w:rsid w:val="006D79D1"/>
    <w:rsid w:val="006E3BFD"/>
    <w:rsid w:val="006F0AFA"/>
    <w:rsid w:val="00711232"/>
    <w:rsid w:val="00717439"/>
    <w:rsid w:val="00722C2A"/>
    <w:rsid w:val="007257EC"/>
    <w:rsid w:val="00725BF6"/>
    <w:rsid w:val="00736836"/>
    <w:rsid w:val="007377FD"/>
    <w:rsid w:val="007409B5"/>
    <w:rsid w:val="00743557"/>
    <w:rsid w:val="007637E6"/>
    <w:rsid w:val="007641C6"/>
    <w:rsid w:val="00767FDB"/>
    <w:rsid w:val="00772956"/>
    <w:rsid w:val="0078234A"/>
    <w:rsid w:val="00784B37"/>
    <w:rsid w:val="007870B9"/>
    <w:rsid w:val="00787678"/>
    <w:rsid w:val="00791DAF"/>
    <w:rsid w:val="00796CAE"/>
    <w:rsid w:val="007A0086"/>
    <w:rsid w:val="007A072E"/>
    <w:rsid w:val="007A073B"/>
    <w:rsid w:val="007A2021"/>
    <w:rsid w:val="007A359F"/>
    <w:rsid w:val="007A62B7"/>
    <w:rsid w:val="007B2BD5"/>
    <w:rsid w:val="007B4543"/>
    <w:rsid w:val="007B7647"/>
    <w:rsid w:val="007C137A"/>
    <w:rsid w:val="007C1C8E"/>
    <w:rsid w:val="007D4BCB"/>
    <w:rsid w:val="007D6EBD"/>
    <w:rsid w:val="007E16B2"/>
    <w:rsid w:val="007E467E"/>
    <w:rsid w:val="007E5602"/>
    <w:rsid w:val="007F5341"/>
    <w:rsid w:val="0080226F"/>
    <w:rsid w:val="00810FA3"/>
    <w:rsid w:val="0081400A"/>
    <w:rsid w:val="008164A5"/>
    <w:rsid w:val="0081675B"/>
    <w:rsid w:val="00820B33"/>
    <w:rsid w:val="00821788"/>
    <w:rsid w:val="00821F2C"/>
    <w:rsid w:val="008276EC"/>
    <w:rsid w:val="00832256"/>
    <w:rsid w:val="00837287"/>
    <w:rsid w:val="00837676"/>
    <w:rsid w:val="00841B2D"/>
    <w:rsid w:val="00842AA0"/>
    <w:rsid w:val="0084675C"/>
    <w:rsid w:val="00846852"/>
    <w:rsid w:val="00851DEF"/>
    <w:rsid w:val="008533AA"/>
    <w:rsid w:val="0087004D"/>
    <w:rsid w:val="00872D0B"/>
    <w:rsid w:val="00883B7E"/>
    <w:rsid w:val="0088578B"/>
    <w:rsid w:val="0089160F"/>
    <w:rsid w:val="00891EE0"/>
    <w:rsid w:val="00895AC1"/>
    <w:rsid w:val="008A18B9"/>
    <w:rsid w:val="008A5B30"/>
    <w:rsid w:val="008C4C89"/>
    <w:rsid w:val="008C68B3"/>
    <w:rsid w:val="008D16E0"/>
    <w:rsid w:val="008D378B"/>
    <w:rsid w:val="008E20BB"/>
    <w:rsid w:val="008E337A"/>
    <w:rsid w:val="008F183F"/>
    <w:rsid w:val="008F31CA"/>
    <w:rsid w:val="008F3417"/>
    <w:rsid w:val="008F39A6"/>
    <w:rsid w:val="008F4A0F"/>
    <w:rsid w:val="008F6113"/>
    <w:rsid w:val="008F64D0"/>
    <w:rsid w:val="008F6B0D"/>
    <w:rsid w:val="009025A6"/>
    <w:rsid w:val="00902CA8"/>
    <w:rsid w:val="00905A21"/>
    <w:rsid w:val="00913FA7"/>
    <w:rsid w:val="00917EA1"/>
    <w:rsid w:val="009208ED"/>
    <w:rsid w:val="009230F6"/>
    <w:rsid w:val="00924F0D"/>
    <w:rsid w:val="009317DC"/>
    <w:rsid w:val="00933F6F"/>
    <w:rsid w:val="00935C29"/>
    <w:rsid w:val="00940B0F"/>
    <w:rsid w:val="00941838"/>
    <w:rsid w:val="00944352"/>
    <w:rsid w:val="009507BB"/>
    <w:rsid w:val="00951CAC"/>
    <w:rsid w:val="0095275E"/>
    <w:rsid w:val="00953711"/>
    <w:rsid w:val="00957449"/>
    <w:rsid w:val="00971BE2"/>
    <w:rsid w:val="0097580C"/>
    <w:rsid w:val="00976566"/>
    <w:rsid w:val="009768DA"/>
    <w:rsid w:val="0098648A"/>
    <w:rsid w:val="00994A47"/>
    <w:rsid w:val="009A71E0"/>
    <w:rsid w:val="009B0683"/>
    <w:rsid w:val="009B4E52"/>
    <w:rsid w:val="009C0445"/>
    <w:rsid w:val="009D4E99"/>
    <w:rsid w:val="009E2B6D"/>
    <w:rsid w:val="009F215D"/>
    <w:rsid w:val="009F4FE7"/>
    <w:rsid w:val="00A01A42"/>
    <w:rsid w:val="00A076A2"/>
    <w:rsid w:val="00A1336D"/>
    <w:rsid w:val="00A22845"/>
    <w:rsid w:val="00A2520D"/>
    <w:rsid w:val="00A272CA"/>
    <w:rsid w:val="00A27A05"/>
    <w:rsid w:val="00A35720"/>
    <w:rsid w:val="00A3674B"/>
    <w:rsid w:val="00A45A68"/>
    <w:rsid w:val="00A45BED"/>
    <w:rsid w:val="00A46969"/>
    <w:rsid w:val="00A47DE5"/>
    <w:rsid w:val="00A52776"/>
    <w:rsid w:val="00A53869"/>
    <w:rsid w:val="00A577F6"/>
    <w:rsid w:val="00A62C09"/>
    <w:rsid w:val="00A67479"/>
    <w:rsid w:val="00A73026"/>
    <w:rsid w:val="00A91F51"/>
    <w:rsid w:val="00A9558F"/>
    <w:rsid w:val="00A95708"/>
    <w:rsid w:val="00A96F5C"/>
    <w:rsid w:val="00A97B4E"/>
    <w:rsid w:val="00AA01F3"/>
    <w:rsid w:val="00AB57A6"/>
    <w:rsid w:val="00AD04F5"/>
    <w:rsid w:val="00AE0A26"/>
    <w:rsid w:val="00AE2383"/>
    <w:rsid w:val="00AE2455"/>
    <w:rsid w:val="00AE40CC"/>
    <w:rsid w:val="00AF1A8E"/>
    <w:rsid w:val="00AF4C31"/>
    <w:rsid w:val="00AF72D7"/>
    <w:rsid w:val="00B02579"/>
    <w:rsid w:val="00B200FD"/>
    <w:rsid w:val="00B32532"/>
    <w:rsid w:val="00B3254B"/>
    <w:rsid w:val="00B56423"/>
    <w:rsid w:val="00B6342F"/>
    <w:rsid w:val="00B64C7E"/>
    <w:rsid w:val="00B7588E"/>
    <w:rsid w:val="00B81715"/>
    <w:rsid w:val="00B8287A"/>
    <w:rsid w:val="00B91C43"/>
    <w:rsid w:val="00BA62CF"/>
    <w:rsid w:val="00BA634B"/>
    <w:rsid w:val="00BA734A"/>
    <w:rsid w:val="00BC6516"/>
    <w:rsid w:val="00BD22AA"/>
    <w:rsid w:val="00BD28C6"/>
    <w:rsid w:val="00BD3BB6"/>
    <w:rsid w:val="00BD5DE5"/>
    <w:rsid w:val="00BE06F2"/>
    <w:rsid w:val="00BE5A27"/>
    <w:rsid w:val="00BE5DBB"/>
    <w:rsid w:val="00BF0635"/>
    <w:rsid w:val="00BF1268"/>
    <w:rsid w:val="00BF28F5"/>
    <w:rsid w:val="00BF39C5"/>
    <w:rsid w:val="00BF3DAF"/>
    <w:rsid w:val="00C06CD3"/>
    <w:rsid w:val="00C239E3"/>
    <w:rsid w:val="00C263AD"/>
    <w:rsid w:val="00C2779C"/>
    <w:rsid w:val="00C30885"/>
    <w:rsid w:val="00C3287D"/>
    <w:rsid w:val="00C3321B"/>
    <w:rsid w:val="00C34092"/>
    <w:rsid w:val="00C345EC"/>
    <w:rsid w:val="00C4246A"/>
    <w:rsid w:val="00C5032B"/>
    <w:rsid w:val="00C57F96"/>
    <w:rsid w:val="00C623DD"/>
    <w:rsid w:val="00C7403A"/>
    <w:rsid w:val="00C74E86"/>
    <w:rsid w:val="00C75D5B"/>
    <w:rsid w:val="00C76721"/>
    <w:rsid w:val="00C808BE"/>
    <w:rsid w:val="00C83C58"/>
    <w:rsid w:val="00C851E6"/>
    <w:rsid w:val="00C87014"/>
    <w:rsid w:val="00C94A90"/>
    <w:rsid w:val="00C94BA6"/>
    <w:rsid w:val="00C94F11"/>
    <w:rsid w:val="00C95701"/>
    <w:rsid w:val="00CA0978"/>
    <w:rsid w:val="00CA4289"/>
    <w:rsid w:val="00CA78FF"/>
    <w:rsid w:val="00CB142D"/>
    <w:rsid w:val="00CB506D"/>
    <w:rsid w:val="00CC636B"/>
    <w:rsid w:val="00CD2273"/>
    <w:rsid w:val="00CD647F"/>
    <w:rsid w:val="00CE00B2"/>
    <w:rsid w:val="00CF027F"/>
    <w:rsid w:val="00CF1758"/>
    <w:rsid w:val="00CF65D3"/>
    <w:rsid w:val="00D13762"/>
    <w:rsid w:val="00D13AB3"/>
    <w:rsid w:val="00D166BF"/>
    <w:rsid w:val="00D17F43"/>
    <w:rsid w:val="00D2636B"/>
    <w:rsid w:val="00D2662E"/>
    <w:rsid w:val="00D27597"/>
    <w:rsid w:val="00D276E4"/>
    <w:rsid w:val="00D41997"/>
    <w:rsid w:val="00D43C52"/>
    <w:rsid w:val="00D43E45"/>
    <w:rsid w:val="00D470AA"/>
    <w:rsid w:val="00D571E3"/>
    <w:rsid w:val="00D63EDF"/>
    <w:rsid w:val="00D717EB"/>
    <w:rsid w:val="00D754EE"/>
    <w:rsid w:val="00D76C33"/>
    <w:rsid w:val="00D801E3"/>
    <w:rsid w:val="00D87A73"/>
    <w:rsid w:val="00D9037F"/>
    <w:rsid w:val="00DA1E22"/>
    <w:rsid w:val="00DA65BD"/>
    <w:rsid w:val="00DB13C1"/>
    <w:rsid w:val="00DC1174"/>
    <w:rsid w:val="00DD0718"/>
    <w:rsid w:val="00DD2D97"/>
    <w:rsid w:val="00DD7B73"/>
    <w:rsid w:val="00DE2DAB"/>
    <w:rsid w:val="00DE3E42"/>
    <w:rsid w:val="00DE4D52"/>
    <w:rsid w:val="00E00427"/>
    <w:rsid w:val="00E133B1"/>
    <w:rsid w:val="00E160A1"/>
    <w:rsid w:val="00E30A63"/>
    <w:rsid w:val="00E33368"/>
    <w:rsid w:val="00E3387D"/>
    <w:rsid w:val="00E37160"/>
    <w:rsid w:val="00E40913"/>
    <w:rsid w:val="00E47C31"/>
    <w:rsid w:val="00E50F5F"/>
    <w:rsid w:val="00E51264"/>
    <w:rsid w:val="00E52222"/>
    <w:rsid w:val="00E56AB9"/>
    <w:rsid w:val="00E56BD0"/>
    <w:rsid w:val="00E63C0A"/>
    <w:rsid w:val="00E67FE6"/>
    <w:rsid w:val="00E85298"/>
    <w:rsid w:val="00E855B3"/>
    <w:rsid w:val="00E90446"/>
    <w:rsid w:val="00E90D46"/>
    <w:rsid w:val="00E90DB7"/>
    <w:rsid w:val="00E94C3D"/>
    <w:rsid w:val="00EA2222"/>
    <w:rsid w:val="00EB3E50"/>
    <w:rsid w:val="00EB6688"/>
    <w:rsid w:val="00ED244B"/>
    <w:rsid w:val="00ED28D0"/>
    <w:rsid w:val="00EE4414"/>
    <w:rsid w:val="00EE6594"/>
    <w:rsid w:val="00EE65AB"/>
    <w:rsid w:val="00EE7E6F"/>
    <w:rsid w:val="00F010A2"/>
    <w:rsid w:val="00F017A5"/>
    <w:rsid w:val="00F02F7C"/>
    <w:rsid w:val="00F0561E"/>
    <w:rsid w:val="00F23E76"/>
    <w:rsid w:val="00F258BA"/>
    <w:rsid w:val="00F25BC1"/>
    <w:rsid w:val="00F25D58"/>
    <w:rsid w:val="00F2623C"/>
    <w:rsid w:val="00F36267"/>
    <w:rsid w:val="00F40AD7"/>
    <w:rsid w:val="00F462D4"/>
    <w:rsid w:val="00F46751"/>
    <w:rsid w:val="00F47CCD"/>
    <w:rsid w:val="00F56311"/>
    <w:rsid w:val="00F76C0C"/>
    <w:rsid w:val="00F7721A"/>
    <w:rsid w:val="00F830CA"/>
    <w:rsid w:val="00F860B8"/>
    <w:rsid w:val="00FA1A21"/>
    <w:rsid w:val="00FA4285"/>
    <w:rsid w:val="00FA7219"/>
    <w:rsid w:val="00FB122E"/>
    <w:rsid w:val="00FC45B6"/>
    <w:rsid w:val="00FC73E2"/>
    <w:rsid w:val="00FD2808"/>
    <w:rsid w:val="00FD3E6C"/>
    <w:rsid w:val="00FD3FC2"/>
    <w:rsid w:val="00FD4EF6"/>
    <w:rsid w:val="00FD7D9A"/>
    <w:rsid w:val="00FE138C"/>
    <w:rsid w:val="00FE7928"/>
    <w:rsid w:val="00FF34C7"/>
    <w:rsid w:val="00FF5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A16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F1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D4EF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36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 Znak,Znak Znak, Znak,Znak,Znak + Wyjustowany,Przed:  3 pt,Po:  7,2 pt,Interlinia:  Wi..."/>
    <w:basedOn w:val="Normalny"/>
    <w:link w:val="Nagwek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 Znak,Znak Znak Znak, Znak Znak2,Znak Znak2,Znak + Wyjustowany Znak1,Przed:  3 pt Znak1,Po:  7 Znak1,2 pt Znak1,Interlinia:  Wi... Znak1"/>
    <w:basedOn w:val="Domylnaczcionkaakapitu"/>
    <w:link w:val="Nagwek"/>
    <w:rsid w:val="004A748E"/>
  </w:style>
  <w:style w:type="paragraph" w:styleId="Stopka">
    <w:name w:val="footer"/>
    <w:basedOn w:val="Normalny"/>
    <w:link w:val="Stopka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A748E"/>
  </w:style>
  <w:style w:type="paragraph" w:styleId="Tekstdymka">
    <w:name w:val="Balloon Text"/>
    <w:basedOn w:val="Normalny"/>
    <w:link w:val="TekstdymkaZnak"/>
    <w:uiPriority w:val="99"/>
    <w:semiHidden/>
    <w:unhideWhenUsed/>
    <w:rsid w:val="004A74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748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2C6F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C05E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B122E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FB122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aliases w:val=" Znak Znak Znak1,Znak Znak Znak1, Znak Znak1,Znak Znak1,Znak + Wyjustowany Znak,Przed:  3 pt Znak,Po:  7 Znak,2 pt Znak,Interlinia:  Wi... Znak"/>
    <w:uiPriority w:val="99"/>
    <w:locked/>
    <w:rsid w:val="00D754EE"/>
    <w:rPr>
      <w:rFonts w:ascii="Arial" w:hAnsi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611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6113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9208ED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semiHidden/>
    <w:rsid w:val="009208ED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9208ED"/>
    <w:rPr>
      <w:vertAlign w:val="superscript"/>
    </w:rPr>
  </w:style>
  <w:style w:type="character" w:styleId="Pogrubienie">
    <w:name w:val="Strong"/>
    <w:uiPriority w:val="22"/>
    <w:qFormat/>
    <w:rsid w:val="006712E4"/>
    <w:rPr>
      <w:b/>
      <w:bCs/>
    </w:rPr>
  </w:style>
  <w:style w:type="paragraph" w:styleId="NormalnyWeb">
    <w:name w:val="Normal (Web)"/>
    <w:basedOn w:val="Normalny"/>
    <w:uiPriority w:val="99"/>
    <w:unhideWhenUsed/>
    <w:rsid w:val="00891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semiHidden/>
    <w:rsid w:val="00A45A68"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1Znak">
    <w:name w:val="Nagłówek 1 Znak"/>
    <w:link w:val="Nagwek1"/>
    <w:rsid w:val="00FD4EF6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2D0B"/>
    <w:rPr>
      <w:sz w:val="22"/>
      <w:szCs w:val="22"/>
      <w:lang w:eastAsia="en-US"/>
    </w:rPr>
  </w:style>
  <w:style w:type="paragraph" w:customStyle="1" w:styleId="Default">
    <w:name w:val="Default"/>
    <w:rsid w:val="00872D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uiPriority w:val="99"/>
    <w:unhideWhenUsed/>
    <w:rsid w:val="00B75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588E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588E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857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857"/>
    <w:rPr>
      <w:rFonts w:eastAsia="Times New Roman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364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F1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D4EF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36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 Znak,Znak Znak, Znak,Znak,Znak + Wyjustowany,Przed:  3 pt,Po:  7,2 pt,Interlinia:  Wi..."/>
    <w:basedOn w:val="Normalny"/>
    <w:link w:val="Nagwek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 Znak,Znak Znak Znak, Znak Znak2,Znak Znak2,Znak + Wyjustowany Znak1,Przed:  3 pt Znak1,Po:  7 Znak1,2 pt Znak1,Interlinia:  Wi... Znak1"/>
    <w:basedOn w:val="Domylnaczcionkaakapitu"/>
    <w:link w:val="Nagwek"/>
    <w:rsid w:val="004A748E"/>
  </w:style>
  <w:style w:type="paragraph" w:styleId="Stopka">
    <w:name w:val="footer"/>
    <w:basedOn w:val="Normalny"/>
    <w:link w:val="Stopka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A748E"/>
  </w:style>
  <w:style w:type="paragraph" w:styleId="Tekstdymka">
    <w:name w:val="Balloon Text"/>
    <w:basedOn w:val="Normalny"/>
    <w:link w:val="TekstdymkaZnak"/>
    <w:uiPriority w:val="99"/>
    <w:semiHidden/>
    <w:unhideWhenUsed/>
    <w:rsid w:val="004A74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748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2C6F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C05E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B122E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FB122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aliases w:val=" Znak Znak Znak1,Znak Znak Znak1, Znak Znak1,Znak Znak1,Znak + Wyjustowany Znak,Przed:  3 pt Znak,Po:  7 Znak,2 pt Znak,Interlinia:  Wi... Znak"/>
    <w:uiPriority w:val="99"/>
    <w:locked/>
    <w:rsid w:val="00D754EE"/>
    <w:rPr>
      <w:rFonts w:ascii="Arial" w:hAnsi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611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6113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9208ED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semiHidden/>
    <w:rsid w:val="009208ED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9208ED"/>
    <w:rPr>
      <w:vertAlign w:val="superscript"/>
    </w:rPr>
  </w:style>
  <w:style w:type="character" w:styleId="Pogrubienie">
    <w:name w:val="Strong"/>
    <w:uiPriority w:val="22"/>
    <w:qFormat/>
    <w:rsid w:val="006712E4"/>
    <w:rPr>
      <w:b/>
      <w:bCs/>
    </w:rPr>
  </w:style>
  <w:style w:type="paragraph" w:styleId="NormalnyWeb">
    <w:name w:val="Normal (Web)"/>
    <w:basedOn w:val="Normalny"/>
    <w:uiPriority w:val="99"/>
    <w:unhideWhenUsed/>
    <w:rsid w:val="00891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semiHidden/>
    <w:rsid w:val="00A45A68"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1Znak">
    <w:name w:val="Nagłówek 1 Znak"/>
    <w:link w:val="Nagwek1"/>
    <w:rsid w:val="00FD4EF6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2D0B"/>
    <w:rPr>
      <w:sz w:val="22"/>
      <w:szCs w:val="22"/>
      <w:lang w:eastAsia="en-US"/>
    </w:rPr>
  </w:style>
  <w:style w:type="paragraph" w:customStyle="1" w:styleId="Default">
    <w:name w:val="Default"/>
    <w:rsid w:val="00872D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uiPriority w:val="99"/>
    <w:unhideWhenUsed/>
    <w:rsid w:val="00B75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588E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588E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857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857"/>
    <w:rPr>
      <w:rFonts w:eastAsia="Times New Roman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364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159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4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72283-98D1-4037-8481-BCAF0BD2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4288</Words>
  <Characters>25733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MJWPU</Company>
  <LinksUpToDate>false</LinksUpToDate>
  <CharactersWithSpaces>29962</CharactersWithSpaces>
  <SharedDoc>false</SharedDoc>
  <HLinks>
    <vt:vector size="12" baseType="variant">
      <vt:variant>
        <vt:i4>2031712</vt:i4>
      </vt:variant>
      <vt:variant>
        <vt:i4>0</vt:i4>
      </vt:variant>
      <vt:variant>
        <vt:i4>0</vt:i4>
      </vt:variant>
      <vt:variant>
        <vt:i4>5</vt:i4>
      </vt:variant>
      <vt:variant>
        <vt:lpwstr>mailto:m.marciniak@mazowia.eu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http://www.mazowia.eu/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mzacharzewska</dc:creator>
  <cp:lastModifiedBy>Monika Sobańska</cp:lastModifiedBy>
  <cp:revision>2</cp:revision>
  <cp:lastPrinted>2015-09-29T11:52:00Z</cp:lastPrinted>
  <dcterms:created xsi:type="dcterms:W3CDTF">2017-06-23T13:48:00Z</dcterms:created>
  <dcterms:modified xsi:type="dcterms:W3CDTF">2017-06-23T13:48:00Z</dcterms:modified>
</cp:coreProperties>
</file>