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4834B6" w:rsidRPr="00037A44" w:rsidRDefault="00B77C31" w:rsidP="004834B6">
      <w:pPr>
        <w:spacing w:line="240" w:lineRule="auto"/>
        <w:rPr>
          <w:rFonts w:ascii="Arial" w:hAnsi="Arial" w:cs="Arial"/>
          <w:sz w:val="18"/>
          <w:szCs w:val="18"/>
          <w:u w:val="single"/>
        </w:rPr>
      </w:pPr>
      <w:r w:rsidRPr="00037A44">
        <w:rPr>
          <w:rFonts w:ascii="Arial" w:hAnsi="Arial" w:cs="Arial"/>
          <w:sz w:val="18"/>
          <w:szCs w:val="18"/>
          <w:u w:val="single"/>
        </w:rPr>
        <w:t xml:space="preserve">KRYTERIA WYBORU PROJEKTU </w:t>
      </w:r>
      <w:r w:rsidR="00C56680" w:rsidRPr="00037A44">
        <w:rPr>
          <w:rFonts w:ascii="Arial" w:hAnsi="Arial" w:cs="Arial"/>
          <w:sz w:val="18"/>
          <w:szCs w:val="18"/>
          <w:u w:val="single"/>
        </w:rPr>
        <w:t xml:space="preserve"> </w:t>
      </w:r>
      <w:r w:rsidR="004834B6" w:rsidRPr="00037A44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4834B6" w:rsidRPr="00037A44" w:rsidRDefault="00037A44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037A44">
        <w:rPr>
          <w:rFonts w:ascii="Arial" w:hAnsi="Arial" w:cs="Arial"/>
          <w:b/>
          <w:sz w:val="18"/>
          <w:szCs w:val="18"/>
        </w:rPr>
        <w:t>Działanie 5.2</w:t>
      </w:r>
      <w:r w:rsidR="004834B6" w:rsidRPr="00037A44">
        <w:rPr>
          <w:rFonts w:ascii="Arial" w:hAnsi="Arial" w:cs="Arial"/>
          <w:b/>
          <w:sz w:val="18"/>
          <w:szCs w:val="18"/>
        </w:rPr>
        <w:t xml:space="preserve"> </w:t>
      </w:r>
    </w:p>
    <w:p w:rsidR="00037A44" w:rsidRPr="00037A44" w:rsidRDefault="00037A44" w:rsidP="00037A44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37A44">
        <w:rPr>
          <w:rFonts w:ascii="Arial" w:hAnsi="Arial" w:cs="Arial"/>
          <w:b/>
          <w:sz w:val="18"/>
          <w:szCs w:val="18"/>
        </w:rPr>
        <w:t>Typ projektów – Rozwój infrastruktury selektywnego systemu zbierania odpadów komunalnych, ze szczególnym uwzględnieniem budowy i modernizacji Punktów Selektywnego Zbierania Odpadów Komunalnych (PSZOK).</w:t>
      </w:r>
    </w:p>
    <w:p w:rsidR="00037A44" w:rsidRPr="00037A44" w:rsidRDefault="00037A44" w:rsidP="00037A4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Pr="00037A44" w:rsidRDefault="00037A44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037A44">
        <w:rPr>
          <w:rFonts w:ascii="Arial" w:hAnsi="Arial" w:cs="Arial"/>
          <w:b/>
          <w:sz w:val="18"/>
          <w:szCs w:val="18"/>
        </w:rPr>
        <w:t>KRYTERIA FORMALNE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"/>
        <w:gridCol w:w="4189"/>
        <w:gridCol w:w="7091"/>
        <w:gridCol w:w="1035"/>
        <w:gridCol w:w="1435"/>
      </w:tblGrid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Nazwa kryterium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Opis kryterium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Punktacja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Możliwość uzupełnienia</w:t>
            </w:r>
          </w:p>
        </w:tc>
      </w:tr>
      <w:tr w:rsidR="00037A44" w:rsidRPr="00E630D8" w:rsidTr="00037A44">
        <w:tc>
          <w:tcPr>
            <w:tcW w:w="0" w:type="auto"/>
          </w:tcPr>
          <w:p w:rsidR="00037A44" w:rsidRPr="005B33E6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33E6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Kompletność złożonego Wniosku o dofinansowanie projektu oraz załączników.</w:t>
            </w:r>
          </w:p>
        </w:tc>
        <w:tc>
          <w:tcPr>
            <w:tcW w:w="0" w:type="auto"/>
          </w:tcPr>
          <w:p w:rsidR="00037A44" w:rsidRPr="002C660D" w:rsidRDefault="00037A44" w:rsidP="00037A44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2C660D">
              <w:rPr>
                <w:sz w:val="20"/>
                <w:szCs w:val="20"/>
              </w:rPr>
              <w:t>W ramach kryterium weryfikowane będzie, czy łącznie zostały spełnione następujące elementy:</w:t>
            </w:r>
          </w:p>
          <w:p w:rsidR="00037A44" w:rsidRPr="002C660D" w:rsidRDefault="00037A44" w:rsidP="00037A44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sz w:val="20"/>
                <w:szCs w:val="20"/>
              </w:rPr>
            </w:pPr>
            <w:r w:rsidRPr="002C660D">
              <w:rPr>
                <w:sz w:val="20"/>
                <w:szCs w:val="20"/>
              </w:rPr>
              <w:t>wniosek i załączniki podpisane przez osobę upoważnioną do reprezentowania wnioskodawcy;</w:t>
            </w:r>
          </w:p>
          <w:p w:rsidR="00037A44" w:rsidRPr="002C660D" w:rsidRDefault="00037A44" w:rsidP="00037A44">
            <w:pPr>
              <w:pStyle w:val="Default"/>
              <w:numPr>
                <w:ilvl w:val="0"/>
                <w:numId w:val="36"/>
              </w:numPr>
              <w:spacing w:line="360" w:lineRule="auto"/>
              <w:rPr>
                <w:sz w:val="20"/>
                <w:szCs w:val="20"/>
              </w:rPr>
            </w:pPr>
            <w:r w:rsidRPr="002C660D">
              <w:rPr>
                <w:sz w:val="20"/>
                <w:szCs w:val="20"/>
              </w:rPr>
              <w:t>spójność wykazu załączników do wniosku i przedłożonych załączników (zgodnie z listą określoną w Regulaminie Konkursu);</w:t>
            </w:r>
          </w:p>
          <w:p w:rsidR="00037A44" w:rsidRPr="005B33E6" w:rsidRDefault="00037A44" w:rsidP="00037A4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2C660D">
              <w:t>załączniki do wniosku są aktualne i na właściwych formularzach.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630D8" w:rsidTr="00037A44"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Wniosek o dofinansowanie projektu wypełniony treścią.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Wszystkie wymagane pola opisowe Wniosku o dofinansowanie wypełniono treścią dającą się interpretować znaczeniowo, zapisaną w języku polskim.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630D8" w:rsidTr="00037A44"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 xml:space="preserve">Wnioskodawca uprawniony do składania wniosku </w:t>
            </w:r>
          </w:p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2C660D" w:rsidRDefault="00037A44" w:rsidP="00037A44">
            <w:pPr>
              <w:spacing w:after="0" w:line="240" w:lineRule="auto"/>
            </w:pPr>
            <w:r w:rsidRPr="00E630D8">
              <w:rPr>
                <w:rFonts w:asciiTheme="minorHAnsi" w:hAnsiTheme="minorHAnsi"/>
                <w:sz w:val="20"/>
                <w:szCs w:val="20"/>
              </w:rPr>
              <w:t>Kategoria Wnioskodawcy oraz Partnera/Partnerów jest zgodna z listą beneficjentów dla danego Działania, określoną w SZOOP RPO WM i/lub Regulaminie Konkursu, Wykazem Projektów Pozakonkursowych EFRR RP0 WM 2014-2020.</w:t>
            </w:r>
            <w:r w:rsidRPr="00E630D8"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E630D8" w:rsidTr="00037A44"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33E6">
              <w:rPr>
                <w:rFonts w:asciiTheme="minorHAnsi" w:hAnsiTheme="minorHAnsi"/>
                <w:sz w:val="20"/>
                <w:szCs w:val="20"/>
              </w:rPr>
              <w:t>4</w:t>
            </w:r>
            <w:r w:rsidRPr="00E630D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Wnioskodawca (oraz Partnerzy) nie podlega/ podlegają wykluczeniu z ubiegania się o dofinansowanie zgodnie z art. 207 ustawy z dnia 27 sierpnia 2009 r. o finansach publicznych.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 xml:space="preserve">Na podstawie kryterium weryfikowane jest czy nie zachodzą przesłanki zawarte w art. 207 ustawy z dnia 27 sierpnia 2009 r. o finansach publicznych (Dz. U. 2013, poz. 885, z </w:t>
            </w:r>
            <w:proofErr w:type="spellStart"/>
            <w:r w:rsidRPr="00E630D8">
              <w:rPr>
                <w:rFonts w:asciiTheme="minorHAnsi" w:hAnsiTheme="minorHAnsi"/>
                <w:sz w:val="20"/>
                <w:szCs w:val="20"/>
              </w:rPr>
              <w:t>poźn</w:t>
            </w:r>
            <w:proofErr w:type="spellEnd"/>
            <w:r w:rsidRPr="00E630D8">
              <w:rPr>
                <w:rFonts w:asciiTheme="minorHAnsi" w:hAnsiTheme="minorHAnsi"/>
                <w:sz w:val="20"/>
                <w:szCs w:val="20"/>
              </w:rPr>
              <w:t>. zm.) skutkujące wykluczeniem Wnioskodawcy lub Partnera/ Partnerów na okres 3 lat z możliwości otrzymania środków przeznaczonych na realizację programów finansowych z udziałem środków europejskich.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037A44" w:rsidRPr="00E630D8" w:rsidTr="00037A44"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B33E6"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  <w:r w:rsidRPr="00E630D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Zgodność z przepisami art. 65 ust. 6 i art. 125 ust. 3 lit. e) i f) Rozporządzenia Parlamentu Europejskiego i Rady (UE) nr 1303/2013 z dnia 17 grudnia 2013 r.</w:t>
            </w:r>
          </w:p>
        </w:tc>
        <w:tc>
          <w:tcPr>
            <w:tcW w:w="0" w:type="auto"/>
          </w:tcPr>
          <w:p w:rsidR="00037A44" w:rsidRPr="00E630D8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Wnioskodawca złożył oświadczenie, że:</w:t>
            </w:r>
          </w:p>
          <w:p w:rsidR="00037A44" w:rsidRPr="00E630D8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- projekt nie został zakończony w rozumieniu art. 65 ust. 6,</w:t>
            </w:r>
          </w:p>
          <w:p w:rsidR="00037A44" w:rsidRPr="005B33E6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- nie rozpoczął realizacji projektu przed dniem złożenia wniosku o dofinansowanie albo że realizując projekt przed dniem złożenia wniosku, przestrzegał obowiązujących przepisów prawa dotyczących danej operacji</w:t>
            </w:r>
            <w:r w:rsidRPr="005B33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"/>
            </w:r>
            <w:r w:rsidRPr="005B33E6">
              <w:rPr>
                <w:rFonts w:asciiTheme="minorHAnsi" w:hAnsiTheme="minorHAnsi"/>
                <w:sz w:val="20"/>
                <w:szCs w:val="20"/>
              </w:rPr>
              <w:t xml:space="preserve"> (art. 125 ust. 3 lit. e),</w:t>
            </w:r>
          </w:p>
          <w:p w:rsidR="00037A44" w:rsidRPr="00E630D8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programem.</w:t>
            </w:r>
          </w:p>
          <w:p w:rsidR="00037A44" w:rsidRPr="00E630D8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bCs/>
                <w:iCs/>
                <w:sz w:val="20"/>
                <w:szCs w:val="20"/>
              </w:rPr>
              <w:t>Kryterium weryfikowane na podstawie złożonych oświadczeń stanowiących integralną część wniosku o dofinansowanie oraz załącznika w postaci harmonogramu zamówień w ramach projektu.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E630D8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630D8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Zgodność interwencji z programem operacyjnym RPO WM 2014-2020 oraz Działaniem opisanym w SZOOP RPO WM.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W ramach kryterium oceniane będzie, czy łącznie zostały spełnione następujące elementy: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zgodność projektu z celami Działania;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zgodność typu projektu z zakresem Działania;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prawidłowe wybranie kategorii interwencji;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zachowanie pułapu maksymalnego dofinansowania;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poprawność określenia poziomu dofinansowania;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spełnienie warunków min./</w:t>
            </w:r>
            <w:proofErr w:type="spellStart"/>
            <w:r w:rsidRPr="0018044E">
              <w:rPr>
                <w:rFonts w:asciiTheme="minorHAnsi" w:hAnsiTheme="minorHAnsi"/>
              </w:rPr>
              <w:t>max</w:t>
            </w:r>
            <w:proofErr w:type="spellEnd"/>
            <w:r w:rsidRPr="0018044E">
              <w:rPr>
                <w:rFonts w:asciiTheme="minorHAnsi" w:hAnsiTheme="minorHAnsi"/>
              </w:rPr>
              <w:t>. wartości projektu;</w:t>
            </w:r>
          </w:p>
          <w:p w:rsidR="00037A44" w:rsidRPr="0018044E" w:rsidRDefault="00037A44" w:rsidP="00037A44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poprawność wyboru wskaźników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Zgodność z Regulaminem Konkursu / fiszką projektu.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Kryterium będzie oceniać zgodność wniosku o dofinansowanie z Regulaminem Konkursu w przypadku projektów konkursowych i zgodność wniosku o dofinansowanie z fiszką projektu w przypadku projektów pozakonkursowych.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Miejsce realizacji projektu.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Miejsce realizacji projektu jest zgodne z zapisami SZOOP RPO WM.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037A44" w:rsidRPr="00ED25CB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D25CB">
              <w:rPr>
                <w:rFonts w:asciiTheme="minorHAnsi" w:hAnsiTheme="minorHAnsi"/>
                <w:sz w:val="20"/>
                <w:szCs w:val="20"/>
              </w:rPr>
              <w:t>Kryterium uważa się za spełnione jeżeli:</w:t>
            </w:r>
          </w:p>
          <w:p w:rsidR="00037A44" w:rsidRPr="00ED25CB" w:rsidRDefault="00037A44" w:rsidP="00037A4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48"/>
              <w:jc w:val="both"/>
              <w:rPr>
                <w:rFonts w:asciiTheme="minorHAnsi" w:hAnsiTheme="minorHAnsi"/>
              </w:rPr>
            </w:pPr>
            <w:r w:rsidRPr="00ED25CB">
              <w:rPr>
                <w:rFonts w:asciiTheme="minorHAnsi" w:hAnsiTheme="minorHAnsi"/>
              </w:rPr>
              <w:t xml:space="preserve">w konkursach zorientowanych wyłącznie na wsparcie projektów, których dofinansowanie nie stanowi pomocy publicznej, dokonana ocena potwierdzi brak </w:t>
            </w:r>
            <w:r w:rsidRPr="00ED25CB">
              <w:rPr>
                <w:rFonts w:asciiTheme="minorHAnsi" w:hAnsiTheme="minorHAnsi"/>
              </w:rPr>
              <w:lastRenderedPageBreak/>
              <w:t>spełnienia przesłanek z art. 107 ust. 1 TFUE</w:t>
            </w:r>
          </w:p>
          <w:p w:rsidR="00037A44" w:rsidRPr="00ED25CB" w:rsidRDefault="00037A44" w:rsidP="00037A4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48"/>
              <w:jc w:val="both"/>
              <w:rPr>
                <w:rFonts w:asciiTheme="minorHAnsi" w:hAnsiTheme="minorHAnsi"/>
              </w:rPr>
            </w:pPr>
            <w:r w:rsidRPr="00ED25CB">
              <w:rPr>
                <w:rFonts w:asciiTheme="minorHAnsi" w:hAnsiTheme="minorHAnsi"/>
              </w:rPr>
              <w:t xml:space="preserve">w konkursach, w których dotacja dla projektu stanowi pomoc publiczną/pomoc de </w:t>
            </w:r>
            <w:proofErr w:type="spellStart"/>
            <w:r w:rsidRPr="00ED25CB">
              <w:rPr>
                <w:rFonts w:asciiTheme="minorHAnsi" w:hAnsiTheme="minorHAnsi"/>
              </w:rPr>
              <w:t>minimis</w:t>
            </w:r>
            <w:proofErr w:type="spellEnd"/>
            <w:r w:rsidRPr="00ED25CB">
              <w:rPr>
                <w:rFonts w:asciiTheme="minorHAnsi" w:hAnsiTheme="minorHAnsi"/>
              </w:rPr>
              <w:t>, ocena dokonywana w oparciu o kryteria szczegółowe zawarte w tabeli nr 1 zakończy się wynikiem pozytywnym (5/5pkt)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lastRenderedPageBreak/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Zgodność dokumentacji środowiskowej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 obowiązującymi przepisami krajowymi i unijnymi w zakresie ochrony środowiska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Dla weryfikacji tego kryterium opracowano szczegółowe kryteria, zawarte w tabeli nr 2.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18044E">
              <w:rPr>
                <w:rFonts w:asciiTheme="minorHAnsi" w:hAnsiTheme="minorHAnsi"/>
                <w:sz w:val="20"/>
                <w:szCs w:val="20"/>
              </w:rPr>
              <w:t>Kwalifikowalność</w:t>
            </w:r>
            <w:proofErr w:type="spellEnd"/>
            <w:r w:rsidRPr="0018044E">
              <w:rPr>
                <w:rFonts w:asciiTheme="minorHAnsi" w:hAnsiTheme="minorHAnsi"/>
                <w:sz w:val="20"/>
                <w:szCs w:val="20"/>
              </w:rPr>
              <w:t xml:space="preserve"> wydatków.</w:t>
            </w:r>
          </w:p>
          <w:p w:rsidR="00037A44" w:rsidRPr="0018044E" w:rsidRDefault="00037A44" w:rsidP="00037A44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 xml:space="preserve">W ramach kryterium weryfikowana jest potencjalna </w:t>
            </w:r>
            <w:proofErr w:type="spellStart"/>
            <w:r w:rsidRPr="0018044E">
              <w:rPr>
                <w:rFonts w:asciiTheme="minorHAnsi" w:hAnsiTheme="minorHAnsi"/>
                <w:sz w:val="20"/>
                <w:szCs w:val="20"/>
              </w:rPr>
              <w:t>kwalifikowalność</w:t>
            </w:r>
            <w:proofErr w:type="spellEnd"/>
            <w:r w:rsidRPr="0018044E">
              <w:rPr>
                <w:rFonts w:asciiTheme="minorHAnsi" w:hAnsiTheme="minorHAnsi"/>
                <w:sz w:val="20"/>
                <w:szCs w:val="20"/>
              </w:rPr>
              <w:t xml:space="preserve"> wydatków planowanych do poniesienia, tj. czy kategorie wydatków zawarte we Wniosku o dofinansowanie projektu są zgodnie z „Zasadami kwalifikowania wydatków ramach RPO WM 2014-2020”.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Zgodność projektu z zasadą równości szans kobiet i mężczyzn</w:t>
            </w:r>
            <w:r w:rsidRPr="0018044E" w:rsidDel="009E37B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W ramach kryterium wnioskodawca powinien wykazać pozytywny lub neutralny wpływ projektu na politykę równości szans kobiet i mężczyzn.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 xml:space="preserve">Zgodność projektu z zasadą równości szans i niedyskryminacji w tym dostępności dla osób z </w:t>
            </w:r>
            <w:proofErr w:type="spellStart"/>
            <w:r w:rsidRPr="0018044E"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W ramach kryterium wnioskodawca powinien wykazać pozytywny lub neutralny wpływ projektu na politykę równości szans i niedyskryminacji w tym dostępności dla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osób z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niepełnosprawnościami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18044E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037A44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Zgodność projektu z zasadą zrównoważonego rozwoju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 xml:space="preserve">W ramach kryterium wnioskodawca powinien wykazać pozytywny lub neutralny wpływ projektu na politykę zrównoważonego rozwoju. 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  <w:tr w:rsidR="00037A44" w:rsidRPr="00A03E9D" w:rsidTr="00037A44">
        <w:tc>
          <w:tcPr>
            <w:tcW w:w="0" w:type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18044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037A44" w:rsidRPr="00A03E9D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3E9D">
              <w:rPr>
                <w:rFonts w:asciiTheme="minorHAnsi" w:hAnsiTheme="minorHAnsi"/>
                <w:sz w:val="20"/>
                <w:szCs w:val="20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037A44" w:rsidRPr="00A03E9D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3E9D">
              <w:rPr>
                <w:rFonts w:asciiTheme="minorHAnsi" w:hAnsiTheme="minorHAnsi"/>
                <w:sz w:val="20"/>
                <w:szCs w:val="20"/>
              </w:rPr>
              <w:t>Kryterium ocenia,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037A44" w:rsidRPr="00A03E9D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03E9D">
              <w:rPr>
                <w:rFonts w:asciiTheme="minorHAnsi" w:hAnsiTheme="minorHAnsi"/>
                <w:sz w:val="20"/>
                <w:szCs w:val="20"/>
              </w:rPr>
              <w:t xml:space="preserve">W przypadku projektu oznaczonego jako niebędący „dużym projektem”, ocenie podlega także, czy z treści Wniosku o dofinansowanie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</w:t>
            </w:r>
            <w:proofErr w:type="spellStart"/>
            <w:r w:rsidRPr="00A03E9D">
              <w:rPr>
                <w:rFonts w:asciiTheme="minorHAnsi" w:hAnsiTheme="minorHAnsi"/>
                <w:sz w:val="20"/>
                <w:szCs w:val="20"/>
              </w:rPr>
              <w:t>pkt</w:t>
            </w:r>
            <w:proofErr w:type="spellEnd"/>
            <w:r w:rsidRPr="00A03E9D">
              <w:rPr>
                <w:rFonts w:asciiTheme="minorHAnsi" w:hAnsiTheme="minorHAnsi"/>
                <w:sz w:val="20"/>
                <w:szCs w:val="20"/>
              </w:rPr>
              <w:t xml:space="preserve"> 7 rozporządzenia PE i Rady (UE) nr 13013/2013, której całkowite koszty </w:t>
            </w:r>
            <w:proofErr w:type="spellStart"/>
            <w:r w:rsidRPr="00A03E9D">
              <w:rPr>
                <w:rFonts w:asciiTheme="minorHAnsi" w:hAnsiTheme="minorHAnsi"/>
                <w:sz w:val="20"/>
                <w:szCs w:val="20"/>
              </w:rPr>
              <w:t>kwalifikowalne</w:t>
            </w:r>
            <w:proofErr w:type="spellEnd"/>
            <w:r w:rsidRPr="00A03E9D">
              <w:rPr>
                <w:rFonts w:asciiTheme="minorHAnsi" w:hAnsiTheme="minorHAnsi"/>
                <w:sz w:val="20"/>
                <w:szCs w:val="20"/>
              </w:rPr>
              <w:t xml:space="preserve"> przekraczająkwotę75 mln EUR .</w:t>
            </w:r>
          </w:p>
        </w:tc>
        <w:tc>
          <w:tcPr>
            <w:tcW w:w="0" w:type="auto"/>
            <w:vAlign w:val="center"/>
          </w:tcPr>
          <w:p w:rsidR="00037A44" w:rsidRPr="00A03E9D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3E9D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037A44" w:rsidRPr="00A03E9D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03E9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</w:tr>
    </w:tbl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Pr="00037A44" w:rsidRDefault="00037A44" w:rsidP="00037A44">
      <w:pPr>
        <w:pStyle w:val="Default"/>
        <w:spacing w:line="360" w:lineRule="auto"/>
        <w:jc w:val="both"/>
        <w:rPr>
          <w:b/>
          <w:color w:val="auto"/>
          <w:sz w:val="18"/>
          <w:szCs w:val="18"/>
        </w:rPr>
      </w:pPr>
      <w:r w:rsidRPr="00037A44">
        <w:rPr>
          <w:b/>
          <w:color w:val="auto"/>
          <w:sz w:val="18"/>
          <w:szCs w:val="18"/>
        </w:rPr>
        <w:t>KRYTERIA SZCZEGÓŁOWE ZGODNOŚCI Z PRAWODAWSTWEM KRAJOWYM I UNIJNYM W ZAKRESIE POMOCY PUBLICZNEJ.</w:t>
      </w:r>
    </w:p>
    <w:tbl>
      <w:tblPr>
        <w:tblpPr w:leftFromText="141" w:rightFromText="141" w:vertAnchor="text" w:horzAnchor="margin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037A44" w:rsidRPr="0018044E" w:rsidTr="00037A44">
        <w:tc>
          <w:tcPr>
            <w:tcW w:w="251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L.p.</w:t>
            </w:r>
          </w:p>
        </w:tc>
        <w:tc>
          <w:tcPr>
            <w:tcW w:w="1299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 xml:space="preserve">Punktacja </w:t>
            </w:r>
          </w:p>
        </w:tc>
      </w:tr>
      <w:tr w:rsidR="00037A44" w:rsidRPr="0018044E" w:rsidTr="00037A44">
        <w:tc>
          <w:tcPr>
            <w:tcW w:w="251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1299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proofErr w:type="spellStart"/>
            <w:r w:rsidRPr="0018044E">
              <w:rPr>
                <w:rFonts w:asciiTheme="minorHAnsi" w:hAnsiTheme="minorHAnsi"/>
                <w:sz w:val="20"/>
              </w:rPr>
              <w:t>Kwalifikowalność</w:t>
            </w:r>
            <w:proofErr w:type="spellEnd"/>
            <w:r w:rsidRPr="0018044E">
              <w:rPr>
                <w:rFonts w:asciiTheme="minorHAnsi" w:hAnsiTheme="minorHAnsi"/>
                <w:sz w:val="20"/>
              </w:rPr>
              <w:t xml:space="preserve"> Wnioskodawcy </w:t>
            </w:r>
          </w:p>
        </w:tc>
        <w:tc>
          <w:tcPr>
            <w:tcW w:w="2935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Kryterium ma potwierdzić, iż podmiot może aplikować o daną kategorię pomocy, nie jest wykluczony na mocy przepisów prawa polskiego i unijnego oraz należy do kręgu podmiot</w:t>
            </w:r>
            <w:r>
              <w:rPr>
                <w:rFonts w:asciiTheme="minorHAnsi" w:hAnsiTheme="minorHAnsi"/>
                <w:sz w:val="20"/>
              </w:rPr>
              <w:t xml:space="preserve">ów uprawnionych do aplikowania </w:t>
            </w:r>
            <w:r w:rsidRPr="0018044E">
              <w:rPr>
                <w:rFonts w:asciiTheme="minorHAnsi" w:hAnsiTheme="minorHAnsi"/>
                <w:sz w:val="20"/>
              </w:rPr>
              <w:t>wskazanych w Regulaminie konkursu. ( w szczególności na podstawie Rozporządzenia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</w:rPr>
              <w:t xml:space="preserve">Komisji (UE) nr 651/2014 lub rozporządzenia nr KE 1407/13 dotyczącego stosowania pomocy de </w:t>
            </w:r>
            <w:proofErr w:type="spellStart"/>
            <w:r w:rsidRPr="0018044E">
              <w:rPr>
                <w:rFonts w:asciiTheme="minorHAnsi" w:hAnsiTheme="minorHAnsi"/>
                <w:sz w:val="20"/>
              </w:rPr>
              <w:t>minimis</w:t>
            </w:r>
            <w:proofErr w:type="spellEnd"/>
            <w:r w:rsidRPr="0018044E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18044E" w:rsidTr="00037A44">
        <w:tc>
          <w:tcPr>
            <w:tcW w:w="251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1299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Cel i przedmiot projektu zgodny z przeznaczeniem pomocy/kategorią pomocy </w:t>
            </w:r>
          </w:p>
        </w:tc>
        <w:tc>
          <w:tcPr>
            <w:tcW w:w="2935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W ramach kryterium weryfikowana jest zgodność projektu z celem, przeznaczeniem oraz warunkami dopuszczalności danego rodzaju pomocy określonymi we właściwych podstawach prawnych udzielenia pomocy,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</w:rPr>
              <w:t>w szczególności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</w:rPr>
              <w:t>na podstawie Rozporządzenia Komisji (UE) nr 651/2014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18044E" w:rsidTr="00037A44">
        <w:tc>
          <w:tcPr>
            <w:tcW w:w="251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1299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Potencjalna </w:t>
            </w:r>
            <w:proofErr w:type="spellStart"/>
            <w:r w:rsidRPr="0018044E">
              <w:rPr>
                <w:rFonts w:asciiTheme="minorHAnsi" w:hAnsiTheme="minorHAnsi"/>
                <w:sz w:val="20"/>
              </w:rPr>
              <w:t>kwalifikowalność</w:t>
            </w:r>
            <w:proofErr w:type="spellEnd"/>
            <w:r w:rsidRPr="0018044E">
              <w:rPr>
                <w:rFonts w:asciiTheme="minorHAnsi" w:hAnsiTheme="minorHAnsi"/>
                <w:sz w:val="20"/>
              </w:rPr>
              <w:t xml:space="preserve"> wydatków</w:t>
            </w:r>
          </w:p>
        </w:tc>
        <w:tc>
          <w:tcPr>
            <w:tcW w:w="2935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</w:p>
          <w:p w:rsidR="00037A44" w:rsidRPr="0018044E" w:rsidRDefault="00037A44" w:rsidP="00037A44">
            <w:pPr>
              <w:rPr>
                <w:rFonts w:asciiTheme="minorHAnsi" w:hAnsiTheme="minorHAnsi"/>
                <w:iCs/>
                <w:sz w:val="20"/>
              </w:rPr>
            </w:pPr>
            <w:r w:rsidRPr="0018044E">
              <w:rPr>
                <w:rFonts w:asciiTheme="minorHAnsi" w:hAnsiTheme="minorHAnsi"/>
                <w:iCs/>
                <w:sz w:val="20"/>
              </w:rPr>
              <w:t>W ramach kryterium ocenie podlegać będzie czy</w:t>
            </w:r>
            <w:r>
              <w:rPr>
                <w:rFonts w:asciiTheme="minorHAnsi" w:hAnsiTheme="minorHAnsi"/>
                <w:iCs/>
                <w:sz w:val="20"/>
              </w:rPr>
              <w:t xml:space="preserve"> </w:t>
            </w:r>
            <w:r w:rsidRPr="0018044E">
              <w:rPr>
                <w:rFonts w:asciiTheme="minorHAnsi" w:hAnsiTheme="minorHAnsi"/>
                <w:iCs/>
                <w:sz w:val="20"/>
              </w:rPr>
              <w:t>wydatki ujęte jako kwalifikowane w projekcie spełniają</w:t>
            </w:r>
            <w:r>
              <w:rPr>
                <w:rFonts w:asciiTheme="minorHAnsi" w:hAnsiTheme="minorHAnsi"/>
                <w:iCs/>
                <w:sz w:val="20"/>
              </w:rPr>
              <w:t xml:space="preserve"> </w:t>
            </w:r>
            <w:r w:rsidRPr="0018044E">
              <w:rPr>
                <w:rFonts w:asciiTheme="minorHAnsi" w:hAnsiTheme="minorHAnsi"/>
                <w:iCs/>
                <w:sz w:val="20"/>
              </w:rPr>
              <w:t>warunki </w:t>
            </w:r>
            <w:proofErr w:type="spellStart"/>
            <w:r w:rsidRPr="0018044E">
              <w:rPr>
                <w:rFonts w:asciiTheme="minorHAnsi" w:hAnsiTheme="minorHAnsi"/>
                <w:iCs/>
                <w:sz w:val="20"/>
              </w:rPr>
              <w:t>kwalifikowalności</w:t>
            </w:r>
            <w:proofErr w:type="spellEnd"/>
            <w:r w:rsidRPr="0018044E">
              <w:rPr>
                <w:rFonts w:asciiTheme="minorHAnsi" w:hAnsiTheme="minorHAnsi"/>
                <w:iCs/>
                <w:sz w:val="20"/>
              </w:rPr>
              <w:t xml:space="preserve"> wskazane we właściwej podstawie prawnej udzielenia pomocy,(…)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 w:rsidDel="00995D7C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14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18044E" w:rsidTr="00037A44">
        <w:tc>
          <w:tcPr>
            <w:tcW w:w="251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1299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Intensywność i maksymalna wartość pomocy oraz procentowy poziom dofinansowania </w:t>
            </w:r>
          </w:p>
        </w:tc>
        <w:tc>
          <w:tcPr>
            <w:tcW w:w="2935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W ramach kryterium weryfikowane będzie w szczególności: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- weryfikacja dopuszczalnej intensywności pomocy oraz zasad kumulacji pomocy;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- weryfikacja dopuszczalnego pułapu wsparcia oraz zasad kumulacji w ramach pomocy de </w:t>
            </w:r>
            <w:proofErr w:type="spellStart"/>
            <w:r w:rsidRPr="0018044E">
              <w:rPr>
                <w:rFonts w:asciiTheme="minorHAnsi" w:hAnsiTheme="minorHAnsi"/>
                <w:sz w:val="20"/>
              </w:rPr>
              <w:t>minimis</w:t>
            </w:r>
            <w:proofErr w:type="spellEnd"/>
            <w:r w:rsidRPr="0018044E">
              <w:rPr>
                <w:rFonts w:asciiTheme="minorHAnsi" w:hAnsiTheme="minorHAnsi"/>
                <w:sz w:val="20"/>
              </w:rPr>
              <w:t>;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- właściwy poziom procentowy dofinansowania wynikający z danego programu pomocowego przy uwzględnieniu rodzaju pomocy oraz wielkości przedsiębiorstwa. </w:t>
            </w:r>
          </w:p>
        </w:tc>
        <w:tc>
          <w:tcPr>
            <w:tcW w:w="514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037A44" w:rsidRPr="0018044E" w:rsidTr="00037A44">
        <w:tc>
          <w:tcPr>
            <w:tcW w:w="251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5.</w:t>
            </w:r>
          </w:p>
        </w:tc>
        <w:tc>
          <w:tcPr>
            <w:tcW w:w="1299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Dodatkowe obowiązki warunkujące zgodność wsparcia w świetle postanowień podstaw prawnych udzielania pomocy </w:t>
            </w:r>
          </w:p>
        </w:tc>
        <w:tc>
          <w:tcPr>
            <w:tcW w:w="2935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Kryterium ma sprawdzić, czy Beneficjent spełnia dodatkowe szczegółowe warunki otrzymania pomocy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</w:rPr>
              <w:t xml:space="preserve">określone we właściwym </w:t>
            </w:r>
            <w:r w:rsidRPr="00713FCF">
              <w:rPr>
                <w:rFonts w:asciiTheme="minorHAnsi" w:hAnsiTheme="minorHAnsi"/>
                <w:sz w:val="20"/>
              </w:rPr>
              <w:t>rozporządzeniu MIR,</w:t>
            </w:r>
            <w:r w:rsidRPr="0018044E">
              <w:rPr>
                <w:rFonts w:asciiTheme="minorHAnsi" w:hAnsiTheme="minorHAnsi"/>
                <w:sz w:val="20"/>
              </w:rPr>
              <w:t xml:space="preserve"> rozporządzeniu Komisji Europejskiej lub innym akcie unijnym i każdorazowo zdefiniowane w Regulaminie konkursu. </w:t>
            </w:r>
          </w:p>
        </w:tc>
        <w:tc>
          <w:tcPr>
            <w:tcW w:w="514" w:type="pct"/>
            <w:shd w:val="clear" w:color="auto" w:fill="auto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</w:tbl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037A44" w:rsidRDefault="00037A44" w:rsidP="00037A44">
      <w:pPr>
        <w:pStyle w:val="Default"/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:rsidR="00037A44" w:rsidRPr="00037A44" w:rsidRDefault="00037A44" w:rsidP="00037A44">
      <w:pPr>
        <w:pStyle w:val="Default"/>
        <w:spacing w:line="360" w:lineRule="auto"/>
        <w:jc w:val="both"/>
        <w:rPr>
          <w:b/>
          <w:bCs/>
          <w:color w:val="auto"/>
          <w:sz w:val="18"/>
          <w:szCs w:val="18"/>
        </w:rPr>
      </w:pPr>
      <w:r w:rsidRPr="00037A44">
        <w:rPr>
          <w:b/>
          <w:bCs/>
          <w:color w:val="auto"/>
          <w:sz w:val="18"/>
          <w:szCs w:val="18"/>
        </w:rPr>
        <w:lastRenderedPageBreak/>
        <w:t>KRYTERIA DOTYCZĄCE DOKUMENTÓW ŚRODOWISKOWYCH</w:t>
      </w:r>
      <w:r>
        <w:rPr>
          <w:b/>
          <w:bCs/>
          <w:color w:val="auto"/>
          <w:sz w:val="18"/>
          <w:szCs w:val="18"/>
        </w:rPr>
        <w:t>.</w:t>
      </w: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037A44" w:rsidRPr="0018044E" w:rsidTr="00037A44">
        <w:trPr>
          <w:jc w:val="center"/>
        </w:trPr>
        <w:tc>
          <w:tcPr>
            <w:tcW w:w="2595" w:type="pct"/>
            <w:gridSpan w:val="3"/>
          </w:tcPr>
          <w:p w:rsidR="00037A44" w:rsidRPr="0018044E" w:rsidRDefault="00037A44" w:rsidP="00037A44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Kryterium</w:t>
            </w:r>
          </w:p>
        </w:tc>
        <w:tc>
          <w:tcPr>
            <w:tcW w:w="1942" w:type="pct"/>
          </w:tcPr>
          <w:p w:rsidR="00037A44" w:rsidRPr="0018044E" w:rsidRDefault="00037A44" w:rsidP="00037A44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Opis</w:t>
            </w:r>
          </w:p>
        </w:tc>
        <w:tc>
          <w:tcPr>
            <w:tcW w:w="463" w:type="pct"/>
          </w:tcPr>
          <w:p w:rsidR="00037A44" w:rsidRPr="0018044E" w:rsidRDefault="00037A44" w:rsidP="00037A44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Ocena</w:t>
            </w:r>
          </w:p>
        </w:tc>
      </w:tr>
      <w:tr w:rsidR="00037A44" w:rsidRPr="0018044E" w:rsidTr="00037A44">
        <w:trPr>
          <w:jc w:val="center"/>
        </w:trPr>
        <w:tc>
          <w:tcPr>
            <w:tcW w:w="704" w:type="pct"/>
            <w:vMerge w:val="restart"/>
            <w:vAlign w:val="center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Czy projekt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podlega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procedurze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 zakresie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OOŚ</w:t>
            </w:r>
          </w:p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Tak/Nie</w:t>
            </w:r>
          </w:p>
          <w:p w:rsidR="00037A44" w:rsidRPr="0018044E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Merge w:val="restart"/>
            <w:vAlign w:val="center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TAK</w:t>
            </w:r>
          </w:p>
          <w:p w:rsidR="00037A44" w:rsidRPr="0018044E" w:rsidRDefault="00037A44" w:rsidP="00037A4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Czy przedłożone zostały wszystkie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wymagane załączniki w zakresie OOŚ</w:t>
            </w:r>
          </w:p>
        </w:tc>
        <w:tc>
          <w:tcPr>
            <w:tcW w:w="1942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Przedsięwzięcia podlegające procedurze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wymagają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przedłożenia wszystkich wymaganych załączników i dokumentacji dotyczących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  <w:tr w:rsidR="00037A44" w:rsidRPr="0018044E" w:rsidTr="00037A44">
        <w:trPr>
          <w:trHeight w:val="1223"/>
          <w:jc w:val="center"/>
        </w:trPr>
        <w:tc>
          <w:tcPr>
            <w:tcW w:w="704" w:type="pct"/>
            <w:vMerge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Kompletność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wypełnienia poszczególnych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punktów w Formularzu do wniosku o dofinansowanie w zakresie OOŚ. Treść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Formularza do wniosku o dofinansowanie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 zakresie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oraz Zaświadczenia organu odpowiedzialnego za monitorowanie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obszarów Natura 2000 musi być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zgodna z informacjami zawartymi we wniosku</w:t>
            </w:r>
            <w:r>
              <w:rPr>
                <w:rFonts w:asciiTheme="minorHAnsi" w:hAnsiTheme="minorHAnsi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dokumentacji środowiskowej oraz postanowieniem uzgadniającym decyzji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budowlaną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lub z tą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decyzją.</w:t>
            </w:r>
          </w:p>
        </w:tc>
        <w:tc>
          <w:tcPr>
            <w:tcW w:w="463" w:type="pct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  <w:tr w:rsidR="00037A44" w:rsidRPr="0018044E" w:rsidTr="00037A44">
        <w:trPr>
          <w:trHeight w:val="1075"/>
          <w:jc w:val="center"/>
        </w:trPr>
        <w:tc>
          <w:tcPr>
            <w:tcW w:w="704" w:type="pct"/>
            <w:vMerge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3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Czy procedura OOŚ została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przeprowadzona poprawnie</w:t>
            </w:r>
          </w:p>
        </w:tc>
        <w:tc>
          <w:tcPr>
            <w:tcW w:w="1942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Zgodność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z Dyrektywami OOŚ, Siedliskową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i Ptasią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oraz przepisami krajowymi w zakresie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(decyzja o środowiskowych uwarunkowaniach, postanowienia organów w przedmiocie konieczności sporządzenia raportu OOŚ, streszczenie raportu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 języku</w:t>
            </w:r>
          </w:p>
          <w:p w:rsidR="00037A44" w:rsidRPr="0018044E" w:rsidRDefault="00037A44" w:rsidP="00037A44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niespecjalistycznym, itp.)</w:t>
            </w:r>
          </w:p>
        </w:tc>
        <w:tc>
          <w:tcPr>
            <w:tcW w:w="463" w:type="pct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  <w:tr w:rsidR="00037A44" w:rsidRPr="0018044E" w:rsidTr="00037A44">
        <w:trPr>
          <w:trHeight w:val="2098"/>
          <w:jc w:val="center"/>
        </w:trPr>
        <w:tc>
          <w:tcPr>
            <w:tcW w:w="704" w:type="pct"/>
            <w:vMerge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037A44" w:rsidRPr="0018044E" w:rsidRDefault="00037A44" w:rsidP="00037A4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1263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Wniosek nie podlega dalszej weryfikacji w ramach poprawności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procedury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i jest kierowany do dalszej oceny</w:t>
            </w:r>
          </w:p>
        </w:tc>
        <w:tc>
          <w:tcPr>
            <w:tcW w:w="1942" w:type="pct"/>
          </w:tcPr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Przedsięwzięcia nie podlegające procedurze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wymagają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przedłożenia Formularza do wniosku o dofinansowanie w zakresie OOŚ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wypełnianego (w sposób prawidłowy) w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ograniczonym zakresie.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Zaświadczenie organu odpowiedzialnego za</w:t>
            </w:r>
          </w:p>
          <w:p w:rsidR="00037A44" w:rsidRPr="0018044E" w:rsidRDefault="00037A44" w:rsidP="00037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  <w:lang w:eastAsia="pl-PL"/>
              </w:rPr>
            </w:pP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monitorowanie obszarów Natura 2000 jest wymagane w przypadku realizacji przedsięwzięć</w:t>
            </w:r>
            <w:r w:rsidRPr="0018044E">
              <w:rPr>
                <w:rFonts w:asciiTheme="minorHAnsi" w:hAnsiTheme="minorHAnsi" w:cs="TimesNewRomanPSMT"/>
                <w:sz w:val="20"/>
                <w:szCs w:val="20"/>
                <w:lang w:eastAsia="pl-PL"/>
              </w:rPr>
              <w:t xml:space="preserve"> </w:t>
            </w:r>
            <w:r w:rsidRPr="0018044E">
              <w:rPr>
                <w:rFonts w:asciiTheme="minorHAnsi" w:hAnsiTheme="minorHAnsi"/>
                <w:sz w:val="20"/>
                <w:szCs w:val="20"/>
                <w:lang w:eastAsia="pl-PL"/>
              </w:rPr>
              <w:t>infrastrukturalnych.</w:t>
            </w:r>
          </w:p>
        </w:tc>
        <w:tc>
          <w:tcPr>
            <w:tcW w:w="463" w:type="pct"/>
          </w:tcPr>
          <w:p w:rsidR="00037A44" w:rsidRPr="0018044E" w:rsidRDefault="00037A44" w:rsidP="00037A44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044E">
              <w:rPr>
                <w:rFonts w:asciiTheme="minorHAnsi" w:hAnsiTheme="minorHAnsi"/>
                <w:sz w:val="20"/>
                <w:szCs w:val="20"/>
              </w:rPr>
              <w:t>0/1</w:t>
            </w:r>
          </w:p>
        </w:tc>
      </w:tr>
    </w:tbl>
    <w:p w:rsidR="00E62477" w:rsidRPr="003F3197" w:rsidRDefault="00E62477" w:rsidP="00495754">
      <w:pPr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3F3197" w:rsidRPr="003F3197" w:rsidRDefault="003F3197" w:rsidP="003F3197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F3197">
        <w:rPr>
          <w:rFonts w:ascii="Arial" w:hAnsi="Arial" w:cs="Arial"/>
          <w:b/>
          <w:sz w:val="18"/>
          <w:szCs w:val="18"/>
        </w:rPr>
        <w:lastRenderedPageBreak/>
        <w:t xml:space="preserve">KRYTERIA DOSTĘPU </w:t>
      </w: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2997"/>
        <w:gridCol w:w="9626"/>
        <w:gridCol w:w="1117"/>
      </w:tblGrid>
      <w:tr w:rsidR="003F3197" w:rsidRPr="008111BD" w:rsidTr="00094678">
        <w:trPr>
          <w:jc w:val="center"/>
        </w:trPr>
        <w:tc>
          <w:tcPr>
            <w:tcW w:w="0" w:type="auto"/>
          </w:tcPr>
          <w:p w:rsidR="003F3197" w:rsidRPr="008111BD" w:rsidRDefault="003F3197" w:rsidP="00094678">
            <w:pPr>
              <w:autoSpaceDE w:val="0"/>
              <w:autoSpaceDN w:val="0"/>
              <w:adjustRightInd w:val="0"/>
              <w:jc w:val="both"/>
            </w:pPr>
            <w:r w:rsidRPr="008111BD">
              <w:t>Lp.</w:t>
            </w:r>
          </w:p>
        </w:tc>
        <w:tc>
          <w:tcPr>
            <w:tcW w:w="0" w:type="auto"/>
          </w:tcPr>
          <w:p w:rsidR="003F3197" w:rsidRPr="008111BD" w:rsidRDefault="003F3197" w:rsidP="00094678">
            <w:pPr>
              <w:autoSpaceDE w:val="0"/>
              <w:autoSpaceDN w:val="0"/>
              <w:adjustRightInd w:val="0"/>
              <w:jc w:val="both"/>
            </w:pPr>
            <w:r w:rsidRPr="008111BD">
              <w:t>Nazwa kryterium</w:t>
            </w:r>
          </w:p>
        </w:tc>
        <w:tc>
          <w:tcPr>
            <w:tcW w:w="0" w:type="auto"/>
          </w:tcPr>
          <w:p w:rsidR="003F3197" w:rsidRPr="008111BD" w:rsidRDefault="003F3197" w:rsidP="00094678">
            <w:pPr>
              <w:autoSpaceDE w:val="0"/>
              <w:autoSpaceDN w:val="0"/>
              <w:adjustRightInd w:val="0"/>
              <w:jc w:val="both"/>
            </w:pPr>
            <w:r w:rsidRPr="008111BD">
              <w:t>Opis kryterium</w:t>
            </w:r>
          </w:p>
        </w:tc>
        <w:tc>
          <w:tcPr>
            <w:tcW w:w="0" w:type="auto"/>
          </w:tcPr>
          <w:p w:rsidR="003F3197" w:rsidRPr="008111BD" w:rsidRDefault="003F3197" w:rsidP="00094678">
            <w:pPr>
              <w:jc w:val="center"/>
              <w:rPr>
                <w:b/>
              </w:rPr>
            </w:pPr>
            <w:r w:rsidRPr="008111BD">
              <w:rPr>
                <w:b/>
              </w:rPr>
              <w:t>Punktacja</w:t>
            </w:r>
          </w:p>
        </w:tc>
      </w:tr>
      <w:tr w:rsidR="003F3197" w:rsidRPr="008111BD" w:rsidTr="00094678">
        <w:trPr>
          <w:jc w:val="center"/>
        </w:trPr>
        <w:tc>
          <w:tcPr>
            <w:tcW w:w="0" w:type="auto"/>
          </w:tcPr>
          <w:p w:rsidR="003F3197" w:rsidRPr="00177043" w:rsidRDefault="003F3197" w:rsidP="00094678">
            <w:pPr>
              <w:autoSpaceDE w:val="0"/>
              <w:autoSpaceDN w:val="0"/>
              <w:adjustRightInd w:val="0"/>
              <w:jc w:val="both"/>
            </w:pPr>
            <w:r w:rsidRPr="00177043">
              <w:t>1</w:t>
            </w:r>
          </w:p>
        </w:tc>
        <w:tc>
          <w:tcPr>
            <w:tcW w:w="0" w:type="auto"/>
            <w:vAlign w:val="center"/>
          </w:tcPr>
          <w:p w:rsidR="003F3197" w:rsidRPr="00177043" w:rsidRDefault="003F3197" w:rsidP="00094678">
            <w:r w:rsidRPr="00177043">
              <w:t>Zgodność  ze Strategią Bezpieczeństwo Energetyczne i Środowisko</w:t>
            </w:r>
          </w:p>
        </w:tc>
        <w:tc>
          <w:tcPr>
            <w:tcW w:w="0" w:type="auto"/>
            <w:vAlign w:val="center"/>
          </w:tcPr>
          <w:p w:rsidR="003F3197" w:rsidRPr="00177043" w:rsidRDefault="003F3197" w:rsidP="00094678">
            <w:r w:rsidRPr="00177043">
              <w:t>Zgodnie z RPO WM 2014-2020 warunkiem realizacji projektów będzie ich zgodność ze Strategią Bezpieczeństwo Energetyczne i Środowisko w zakresie kierunku interwencji: Racjonalne gospodarowanie odpadami, w tym wykorzystanie ich na cele energetyczne.</w:t>
            </w:r>
          </w:p>
        </w:tc>
        <w:tc>
          <w:tcPr>
            <w:tcW w:w="0" w:type="auto"/>
            <w:vAlign w:val="center"/>
          </w:tcPr>
          <w:p w:rsidR="003F3197" w:rsidRPr="008111BD" w:rsidRDefault="003F3197" w:rsidP="00094678">
            <w:pPr>
              <w:ind w:left="445" w:right="-108"/>
              <w:contextualSpacing/>
            </w:pPr>
            <w:r w:rsidRPr="008111BD">
              <w:t>0/1</w:t>
            </w:r>
          </w:p>
        </w:tc>
      </w:tr>
      <w:tr w:rsidR="003F3197" w:rsidRPr="008111BD" w:rsidTr="00094678">
        <w:trPr>
          <w:jc w:val="center"/>
        </w:trPr>
        <w:tc>
          <w:tcPr>
            <w:tcW w:w="0" w:type="auto"/>
          </w:tcPr>
          <w:p w:rsidR="003F3197" w:rsidRPr="00177043" w:rsidRDefault="003F3197" w:rsidP="00094678">
            <w:pPr>
              <w:autoSpaceDE w:val="0"/>
              <w:autoSpaceDN w:val="0"/>
              <w:adjustRightInd w:val="0"/>
              <w:jc w:val="both"/>
            </w:pPr>
            <w:r w:rsidRPr="00177043">
              <w:t>2</w:t>
            </w:r>
          </w:p>
        </w:tc>
        <w:tc>
          <w:tcPr>
            <w:tcW w:w="0" w:type="auto"/>
            <w:vAlign w:val="center"/>
          </w:tcPr>
          <w:p w:rsidR="003F3197" w:rsidRPr="00177043" w:rsidRDefault="003F3197" w:rsidP="00094678">
            <w:r w:rsidRPr="00177043">
              <w:t>Zgodność z wymogami tzw. ramowej dyrektywy o odpadach</w:t>
            </w:r>
          </w:p>
        </w:tc>
        <w:tc>
          <w:tcPr>
            <w:tcW w:w="0" w:type="auto"/>
            <w:vAlign w:val="center"/>
          </w:tcPr>
          <w:p w:rsidR="003F3197" w:rsidRPr="00177043" w:rsidRDefault="003F3197" w:rsidP="00094678">
            <w:r w:rsidRPr="00177043">
              <w:t xml:space="preserve">Zgodnie z RPO WM 2014-2020 warunkiem realizacji projektów będzie ich zgodność z wymogami Dyrektywy Parlamentu Europejskiego i Rady 2008/98/WE z dnia 19 listopada 2008 r. w sprawie odpadów oraz </w:t>
            </w:r>
          </w:p>
          <w:p w:rsidR="003F3197" w:rsidRPr="00177043" w:rsidRDefault="003F3197" w:rsidP="00094678">
            <w:r w:rsidRPr="00177043">
              <w:t>uchylająca niektóre dyrektywy.</w:t>
            </w:r>
          </w:p>
          <w:p w:rsidR="003F3197" w:rsidRPr="00177043" w:rsidRDefault="003F3197" w:rsidP="00094678"/>
        </w:tc>
        <w:tc>
          <w:tcPr>
            <w:tcW w:w="0" w:type="auto"/>
            <w:vAlign w:val="center"/>
          </w:tcPr>
          <w:p w:rsidR="003F3197" w:rsidRPr="008111BD" w:rsidRDefault="003F3197" w:rsidP="00094678">
            <w:pPr>
              <w:ind w:left="445" w:right="-108"/>
              <w:contextualSpacing/>
            </w:pPr>
            <w:r w:rsidRPr="008111BD">
              <w:t>0/1</w:t>
            </w:r>
          </w:p>
        </w:tc>
      </w:tr>
      <w:tr w:rsidR="003F3197" w:rsidRPr="008111BD" w:rsidTr="00094678">
        <w:trPr>
          <w:jc w:val="center"/>
        </w:trPr>
        <w:tc>
          <w:tcPr>
            <w:tcW w:w="0" w:type="auto"/>
          </w:tcPr>
          <w:p w:rsidR="003F3197" w:rsidRPr="00177043" w:rsidRDefault="003F3197" w:rsidP="00094678">
            <w:pPr>
              <w:autoSpaceDE w:val="0"/>
              <w:autoSpaceDN w:val="0"/>
              <w:adjustRightInd w:val="0"/>
              <w:jc w:val="both"/>
            </w:pPr>
            <w:r w:rsidRPr="00177043">
              <w:t>3</w:t>
            </w:r>
          </w:p>
        </w:tc>
        <w:tc>
          <w:tcPr>
            <w:tcW w:w="0" w:type="auto"/>
            <w:vAlign w:val="center"/>
          </w:tcPr>
          <w:p w:rsidR="003F3197" w:rsidRPr="00177043" w:rsidRDefault="003F3197" w:rsidP="00094678">
            <w:r w:rsidRPr="00177043">
              <w:t xml:space="preserve">Efektywność kosztowa </w:t>
            </w:r>
          </w:p>
          <w:p w:rsidR="003F3197" w:rsidRPr="00177043" w:rsidRDefault="003F3197" w:rsidP="00094678"/>
        </w:tc>
        <w:tc>
          <w:tcPr>
            <w:tcW w:w="0" w:type="auto"/>
            <w:vAlign w:val="center"/>
          </w:tcPr>
          <w:p w:rsidR="003F3197" w:rsidRPr="00177043" w:rsidRDefault="003F3197" w:rsidP="00094678">
            <w:r w:rsidRPr="00177043">
              <w:t>Zgodnie z RPO WM 2014-2020, wskaźnik: „Liczba wspartych Punktów Selektywnego Zbierania Odpadów Komunalnych [szt.]” jest ramą wykonania osi priorytetowej i będzie służył KE do oceny realizacji celów RPO WM.</w:t>
            </w:r>
          </w:p>
          <w:p w:rsidR="003F3197" w:rsidRPr="00177043" w:rsidRDefault="003F3197" w:rsidP="00094678"/>
          <w:p w:rsidR="003F3197" w:rsidRPr="00177043" w:rsidRDefault="003F3197" w:rsidP="00094678">
            <w:r w:rsidRPr="00177043">
              <w:t>Kryterium będzie liczone zgodnie z poniższym wzorem:</w:t>
            </w:r>
          </w:p>
          <w:p w:rsidR="003F3197" w:rsidRPr="00177043" w:rsidRDefault="003F3197" w:rsidP="00094678"/>
          <w:p w:rsidR="003F3197" w:rsidRPr="00177043" w:rsidRDefault="003F3197" w:rsidP="00094678">
            <w:r w:rsidRPr="00177043">
              <w:t>Wartość dofinansowania UE projektu (euro)</w:t>
            </w:r>
          </w:p>
          <w:p w:rsidR="003F3197" w:rsidRPr="00177043" w:rsidRDefault="003F3197" w:rsidP="00094678">
            <w:r>
              <w:rPr>
                <w:noProof/>
                <w:lang w:eastAsia="pl-PL"/>
              </w:rPr>
              <w:drawing>
                <wp:anchor distT="4294967292" distB="4294967292" distL="114300" distR="114300" simplePos="0" relativeHeight="251658240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93980</wp:posOffset>
                  </wp:positionV>
                  <wp:extent cx="3124200" cy="0"/>
                  <wp:effectExtent l="5715" t="5080" r="5715" b="5080"/>
                  <wp:wrapNone/>
                  <wp:docPr id="14" name="Łącznik prosty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2" name="Łącznik prosty 2"/>
                            <a:cNvCxnSpPr>
                              <a:cxnSpLocks/>
                            </a:cNvCxnSpPr>
                          </a:nvCxnSpPr>
                          <a:spPr>
                            <a:xfrm>
                              <a:off x="2148205" y="2700655"/>
                              <a:ext cx="24053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  <w:r w:rsidRPr="00177043">
              <w:t xml:space="preserve">                                                                                                                   &lt;= 99 838 euro</w:t>
            </w:r>
          </w:p>
          <w:p w:rsidR="003F3197" w:rsidRPr="00177043" w:rsidRDefault="003F3197" w:rsidP="00094678">
            <w:r w:rsidRPr="00177043">
              <w:t>Wartości docelowa wskaźnika w ramach projektu:</w:t>
            </w:r>
          </w:p>
          <w:p w:rsidR="003F3197" w:rsidRPr="00177043" w:rsidRDefault="003F3197" w:rsidP="00094678">
            <w:r w:rsidRPr="00177043">
              <w:t xml:space="preserve">Liczba wspartych Punktów Selektywnego Zbierania Odpadów Komunalnych [szt.] </w:t>
            </w:r>
          </w:p>
          <w:p w:rsidR="003F3197" w:rsidRPr="00177043" w:rsidRDefault="003F3197" w:rsidP="00094678"/>
          <w:p w:rsidR="003F3197" w:rsidRPr="00177043" w:rsidRDefault="003F3197" w:rsidP="00094678">
            <w:r w:rsidRPr="00177043">
              <w:t xml:space="preserve">W przypadku gdy projekt zakłada wsparcia więcej niż jeden PSZOK, średnia wartość dofinansowania UE </w:t>
            </w:r>
            <w:r w:rsidRPr="00177043">
              <w:lastRenderedPageBreak/>
              <w:t xml:space="preserve">wsparcia jednego punktu selektywnego zbierania odpadów komunalnych, w ramach projektu, nie może przekroczyć kwoty 99 838 euro. Koszt należy przeliczyć kursem euro podanym w regulaminie konkursu. </w:t>
            </w:r>
          </w:p>
        </w:tc>
        <w:tc>
          <w:tcPr>
            <w:tcW w:w="0" w:type="auto"/>
            <w:vAlign w:val="center"/>
          </w:tcPr>
          <w:p w:rsidR="003F3197" w:rsidRPr="008111BD" w:rsidRDefault="003F3197" w:rsidP="00094678">
            <w:pPr>
              <w:ind w:left="445" w:right="-108"/>
              <w:contextualSpacing/>
            </w:pPr>
            <w:r>
              <w:lastRenderedPageBreak/>
              <w:t xml:space="preserve"> 0/1</w:t>
            </w:r>
          </w:p>
        </w:tc>
      </w:tr>
    </w:tbl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3F3197" w:rsidRPr="003F3197" w:rsidRDefault="003F3197" w:rsidP="003F3197">
      <w:pPr>
        <w:keepNext/>
        <w:rPr>
          <w:rFonts w:ascii="Arial" w:hAnsi="Arial" w:cs="Arial"/>
          <w:b/>
          <w:sz w:val="18"/>
          <w:szCs w:val="18"/>
        </w:rPr>
      </w:pPr>
      <w:r w:rsidRPr="003F3197">
        <w:rPr>
          <w:rFonts w:ascii="Arial" w:hAnsi="Arial" w:cs="Arial"/>
          <w:b/>
          <w:sz w:val="18"/>
          <w:szCs w:val="18"/>
        </w:rPr>
        <w:t xml:space="preserve">KRYTERIA MERYTORYCZNE – OGÓLNE </w:t>
      </w:r>
    </w:p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2952"/>
        <w:gridCol w:w="9530"/>
        <w:gridCol w:w="1132"/>
      </w:tblGrid>
      <w:tr w:rsidR="003F3197" w:rsidRPr="0018044E" w:rsidTr="00094678">
        <w:tc>
          <w:tcPr>
            <w:tcW w:w="213" w:type="pct"/>
          </w:tcPr>
          <w:p w:rsidR="003F3197" w:rsidRPr="0018044E" w:rsidRDefault="003F3197" w:rsidP="00094678">
            <w:pPr>
              <w:keepNext/>
              <w:spacing w:after="0" w:line="240" w:lineRule="auto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038" w:type="pct"/>
          </w:tcPr>
          <w:p w:rsidR="003F3197" w:rsidRPr="0018044E" w:rsidRDefault="003F3197" w:rsidP="00094678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Nazwa kryterium</w:t>
            </w:r>
          </w:p>
        </w:tc>
        <w:tc>
          <w:tcPr>
            <w:tcW w:w="3351" w:type="pct"/>
          </w:tcPr>
          <w:p w:rsidR="003F3197" w:rsidRPr="0018044E" w:rsidRDefault="003F3197" w:rsidP="00094678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Opis kryterium</w:t>
            </w:r>
          </w:p>
        </w:tc>
        <w:tc>
          <w:tcPr>
            <w:tcW w:w="398" w:type="pct"/>
          </w:tcPr>
          <w:p w:rsidR="003F3197" w:rsidRPr="0018044E" w:rsidRDefault="003F3197" w:rsidP="00094678">
            <w:pPr>
              <w:keepNext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18044E">
              <w:rPr>
                <w:rFonts w:asciiTheme="minorHAnsi" w:hAnsiTheme="minorHAnsi"/>
                <w:b/>
                <w:sz w:val="20"/>
              </w:rPr>
              <w:t>Punktacja</w:t>
            </w:r>
          </w:p>
        </w:tc>
      </w:tr>
      <w:tr w:rsidR="003F3197" w:rsidRPr="0018044E" w:rsidTr="00094678">
        <w:trPr>
          <w:trHeight w:val="2835"/>
        </w:trPr>
        <w:tc>
          <w:tcPr>
            <w:tcW w:w="213" w:type="pct"/>
          </w:tcPr>
          <w:p w:rsidR="003F3197" w:rsidRPr="0018044E" w:rsidRDefault="003F3197" w:rsidP="0009467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1038" w:type="pct"/>
          </w:tcPr>
          <w:p w:rsidR="003F3197" w:rsidRPr="0018044E" w:rsidRDefault="003F3197" w:rsidP="0009467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Wykonalność finansowa </w:t>
            </w:r>
          </w:p>
        </w:tc>
        <w:tc>
          <w:tcPr>
            <w:tcW w:w="3351" w:type="pct"/>
          </w:tcPr>
          <w:p w:rsidR="003F3197" w:rsidRPr="0018044E" w:rsidRDefault="003F3197" w:rsidP="00094678">
            <w:pPr>
              <w:pStyle w:val="Akapitzlist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W ramach kryterium ocenie podlegać będzie:</w:t>
            </w:r>
          </w:p>
          <w:p w:rsidR="003F3197" w:rsidRPr="0018044E" w:rsidRDefault="003F3197" w:rsidP="00094678">
            <w:pPr>
              <w:pStyle w:val="Akapitzlist"/>
              <w:rPr>
                <w:rFonts w:asciiTheme="minorHAnsi" w:hAnsiTheme="minorHAnsi"/>
              </w:rPr>
            </w:pPr>
          </w:p>
          <w:p w:rsidR="003F3197" w:rsidRPr="0018044E" w:rsidRDefault="003F3197" w:rsidP="003F319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czy założenia do analizy finansowej i ekonomicznej są poprawne i rzetelne;</w:t>
            </w:r>
          </w:p>
          <w:p w:rsidR="003F3197" w:rsidRPr="0018044E" w:rsidRDefault="003F3197" w:rsidP="00094678">
            <w:pPr>
              <w:pStyle w:val="Akapitzlist"/>
              <w:rPr>
                <w:rFonts w:asciiTheme="minorHAnsi" w:hAnsiTheme="minorHAnsi"/>
              </w:rPr>
            </w:pPr>
          </w:p>
          <w:p w:rsidR="003F3197" w:rsidRPr="0018044E" w:rsidRDefault="003F3197" w:rsidP="003F319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harmonogram rzeczowo-finansowy projektu</w:t>
            </w:r>
            <w:r>
              <w:rPr>
                <w:rFonts w:asciiTheme="minorHAnsi" w:hAnsiTheme="minorHAnsi"/>
              </w:rPr>
              <w:t xml:space="preserve"> </w:t>
            </w:r>
            <w:r w:rsidRPr="0018044E">
              <w:rPr>
                <w:rFonts w:asciiTheme="minorHAnsi" w:hAnsiTheme="minorHAnsi"/>
              </w:rPr>
              <w:t>umożliwia prawidłową i terminową realizację przedsięwzięcia;</w:t>
            </w:r>
          </w:p>
          <w:p w:rsidR="003F3197" w:rsidRPr="0018044E" w:rsidRDefault="003F3197" w:rsidP="00094678">
            <w:pPr>
              <w:pStyle w:val="Akapitzlist"/>
              <w:rPr>
                <w:rFonts w:asciiTheme="minorHAnsi" w:hAnsiTheme="minorHAnsi"/>
              </w:rPr>
            </w:pPr>
          </w:p>
          <w:p w:rsidR="003F3197" w:rsidRPr="0018044E" w:rsidRDefault="003F3197" w:rsidP="003F3197">
            <w:pPr>
              <w:pStyle w:val="Akapitzlist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 xml:space="preserve">Wpływ na wykonalność finansową korekty finansowej będącej wynikiem przeprowadzonej i zakończonej do dnia przeprowadzania oceny kontroli prawidłowości realizacji zamówień w ramach projektu (jeśli dotyczy). </w:t>
            </w:r>
          </w:p>
          <w:p w:rsidR="003F3197" w:rsidRPr="0018044E" w:rsidRDefault="003F3197" w:rsidP="0009467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98" w:type="pct"/>
            <w:vAlign w:val="center"/>
          </w:tcPr>
          <w:p w:rsidR="003F3197" w:rsidRPr="0018044E" w:rsidRDefault="003F3197" w:rsidP="0009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3F3197" w:rsidRPr="0018044E" w:rsidTr="00094678">
        <w:trPr>
          <w:trHeight w:val="1510"/>
        </w:trPr>
        <w:tc>
          <w:tcPr>
            <w:tcW w:w="213" w:type="pct"/>
          </w:tcPr>
          <w:p w:rsidR="003F3197" w:rsidRPr="0018044E" w:rsidRDefault="003F3197" w:rsidP="0009467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1038" w:type="pct"/>
          </w:tcPr>
          <w:p w:rsidR="003F3197" w:rsidRPr="0018044E" w:rsidRDefault="003F3197" w:rsidP="0009467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Wykonalność organizacyjna (kadrowa) techniczna i technologiczna</w:t>
            </w:r>
          </w:p>
        </w:tc>
        <w:tc>
          <w:tcPr>
            <w:tcW w:w="3351" w:type="pct"/>
          </w:tcPr>
          <w:p w:rsidR="003F3197" w:rsidRPr="0018044E" w:rsidRDefault="003F3197" w:rsidP="0009467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W ramach kryterium ocenie będzie podlegać, czy przyjęte założenia potwierdzają, że projekt jest wykonalny i zapewnia utrzymanie rezultatów w okresie trwałości. </w:t>
            </w:r>
          </w:p>
          <w:p w:rsidR="003F3197" w:rsidRPr="0018044E" w:rsidRDefault="003F3197" w:rsidP="003F319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 xml:space="preserve">technicznie; </w:t>
            </w:r>
          </w:p>
          <w:p w:rsidR="003F3197" w:rsidRPr="0018044E" w:rsidRDefault="003F3197" w:rsidP="003F319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>technologicznie;</w:t>
            </w:r>
          </w:p>
          <w:p w:rsidR="003F3197" w:rsidRPr="0018044E" w:rsidRDefault="003F3197" w:rsidP="003F319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18044E">
              <w:rPr>
                <w:rFonts w:asciiTheme="minorHAnsi" w:hAnsiTheme="minorHAnsi"/>
              </w:rPr>
              <w:t xml:space="preserve">organizacyjnie. </w:t>
            </w:r>
          </w:p>
        </w:tc>
        <w:tc>
          <w:tcPr>
            <w:tcW w:w="398" w:type="pct"/>
            <w:vAlign w:val="center"/>
          </w:tcPr>
          <w:p w:rsidR="003F3197" w:rsidRPr="0018044E" w:rsidRDefault="003F3197" w:rsidP="0009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  <w:tr w:rsidR="003F3197" w:rsidRPr="0018044E" w:rsidTr="00094678">
        <w:trPr>
          <w:trHeight w:val="1934"/>
        </w:trPr>
        <w:tc>
          <w:tcPr>
            <w:tcW w:w="213" w:type="pct"/>
          </w:tcPr>
          <w:p w:rsidR="003F3197" w:rsidRPr="0018044E" w:rsidRDefault="003F3197" w:rsidP="0009467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lastRenderedPageBreak/>
              <w:t>3.</w:t>
            </w:r>
          </w:p>
        </w:tc>
        <w:tc>
          <w:tcPr>
            <w:tcW w:w="1038" w:type="pct"/>
          </w:tcPr>
          <w:p w:rsidR="003F3197" w:rsidRPr="0018044E" w:rsidRDefault="003F3197" w:rsidP="00094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 xml:space="preserve">Efektywność </w:t>
            </w:r>
          </w:p>
          <w:p w:rsidR="003F3197" w:rsidRPr="0018044E" w:rsidRDefault="003F3197" w:rsidP="00094678">
            <w:pPr>
              <w:spacing w:after="0" w:line="240" w:lineRule="auto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projektu</w:t>
            </w:r>
          </w:p>
        </w:tc>
        <w:tc>
          <w:tcPr>
            <w:tcW w:w="3351" w:type="pct"/>
          </w:tcPr>
          <w:p w:rsidR="003F3197" w:rsidRPr="0018044E" w:rsidRDefault="003F3197" w:rsidP="00094678">
            <w:pPr>
              <w:spacing w:after="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W ramach kryterium ocenie będzie podlegać:</w:t>
            </w:r>
          </w:p>
          <w:p w:rsidR="003F3197" w:rsidRPr="0018044E" w:rsidRDefault="003F3197" w:rsidP="003F3197">
            <w:pPr>
              <w:pStyle w:val="713"/>
              <w:numPr>
                <w:ilvl w:val="0"/>
                <w:numId w:val="33"/>
              </w:numPr>
              <w:tabs>
                <w:tab w:val="left" w:pos="252"/>
              </w:tabs>
              <w:rPr>
                <w:rFonts w:asciiTheme="minorHAnsi" w:hAnsiTheme="minorHAnsi" w:cs="Calibri"/>
                <w:sz w:val="20"/>
                <w:szCs w:val="22"/>
              </w:rPr>
            </w:pPr>
            <w:r w:rsidRPr="0018044E">
              <w:rPr>
                <w:rFonts w:asciiTheme="minorHAnsi" w:hAnsiTheme="minorHAnsi" w:cs="Calibri"/>
                <w:sz w:val="20"/>
                <w:szCs w:val="22"/>
              </w:rPr>
              <w:t>czy przewidziane w projekcie koszty zostały oszacowane w odpowiedniej wysokości;</w:t>
            </w:r>
          </w:p>
          <w:p w:rsidR="003F3197" w:rsidRPr="0018044E" w:rsidRDefault="003F3197" w:rsidP="003F3197">
            <w:pPr>
              <w:pStyle w:val="713"/>
              <w:numPr>
                <w:ilvl w:val="0"/>
                <w:numId w:val="33"/>
              </w:numPr>
              <w:tabs>
                <w:tab w:val="left" w:pos="252"/>
              </w:tabs>
              <w:rPr>
                <w:rFonts w:asciiTheme="minorHAnsi" w:hAnsiTheme="minorHAnsi" w:cs="Calibri"/>
                <w:sz w:val="20"/>
                <w:szCs w:val="22"/>
              </w:rPr>
            </w:pPr>
            <w:r w:rsidRPr="0018044E">
              <w:rPr>
                <w:rFonts w:asciiTheme="minorHAnsi" w:hAnsiTheme="minorHAnsi"/>
                <w:sz w:val="20"/>
                <w:szCs w:val="22"/>
              </w:rPr>
              <w:t>czy istnieją alternatywne rozwiązania osiągnięcia celów projektu, jeśli tak to czy wybrano najkorzystniejsze ekonomicznie rozwiązania);</w:t>
            </w:r>
          </w:p>
          <w:p w:rsidR="003F3197" w:rsidRPr="0018044E" w:rsidRDefault="003F3197" w:rsidP="003F3197">
            <w:pPr>
              <w:pStyle w:val="713"/>
              <w:numPr>
                <w:ilvl w:val="0"/>
                <w:numId w:val="33"/>
              </w:numPr>
              <w:tabs>
                <w:tab w:val="left" w:pos="252"/>
              </w:tabs>
              <w:rPr>
                <w:rFonts w:asciiTheme="minorHAnsi" w:hAnsiTheme="minorHAnsi" w:cs="Calibri"/>
                <w:sz w:val="20"/>
                <w:szCs w:val="22"/>
              </w:rPr>
            </w:pPr>
            <w:r w:rsidRPr="0018044E">
              <w:rPr>
                <w:rFonts w:asciiTheme="minorHAnsi" w:hAnsiTheme="minorHAnsi" w:cs="Calibri"/>
                <w:sz w:val="20"/>
                <w:szCs w:val="22"/>
              </w:rPr>
              <w:t>czy przyjęte założenia pozwolą na osiągnięcie wskaźników na zaplanowanym poziomie;</w:t>
            </w:r>
          </w:p>
        </w:tc>
        <w:tc>
          <w:tcPr>
            <w:tcW w:w="398" w:type="pct"/>
            <w:vAlign w:val="center"/>
          </w:tcPr>
          <w:p w:rsidR="003F3197" w:rsidRPr="0018044E" w:rsidRDefault="003F3197" w:rsidP="0009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18044E">
              <w:rPr>
                <w:rFonts w:asciiTheme="minorHAnsi" w:hAnsiTheme="minorHAnsi"/>
                <w:sz w:val="20"/>
              </w:rPr>
              <w:t>0/1</w:t>
            </w:r>
          </w:p>
        </w:tc>
      </w:tr>
    </w:tbl>
    <w:p w:rsidR="00E62477" w:rsidRDefault="00E62477" w:rsidP="00495754">
      <w:pPr>
        <w:spacing w:after="0" w:line="36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A0403B" w:rsidRPr="00E62477" w:rsidRDefault="00A0403B" w:rsidP="00B77C31">
      <w:pPr>
        <w:pStyle w:val="Default"/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DD0252" w:rsidRPr="00DD0252" w:rsidRDefault="00DD0252" w:rsidP="00DD0252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DD0252">
        <w:rPr>
          <w:rFonts w:ascii="Arial" w:hAnsi="Arial" w:cs="Arial"/>
          <w:b/>
          <w:sz w:val="18"/>
          <w:szCs w:val="18"/>
        </w:rPr>
        <w:t>KRYTERIA MERYTORYCZNE – SZCZEGÓŁOWE</w:t>
      </w: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"/>
        <w:gridCol w:w="3070"/>
        <w:gridCol w:w="5285"/>
        <w:gridCol w:w="4244"/>
        <w:gridCol w:w="1436"/>
        <w:gridCol w:w="36"/>
      </w:tblGrid>
      <w:tr w:rsidR="00DD0252" w:rsidRPr="008111BD" w:rsidTr="00DD0252">
        <w:trPr>
          <w:gridAfter w:val="1"/>
          <w:wAfter w:w="12" w:type="pct"/>
          <w:trHeight w:val="765"/>
        </w:trPr>
        <w:tc>
          <w:tcPr>
            <w:tcW w:w="322" w:type="pct"/>
          </w:tcPr>
          <w:p w:rsidR="003F3197" w:rsidRPr="008111BD" w:rsidRDefault="003F3197" w:rsidP="00094678">
            <w:pPr>
              <w:ind w:left="32"/>
              <w:rPr>
                <w:rFonts w:ascii="Cambria" w:hAnsi="Cambria"/>
              </w:rPr>
            </w:pPr>
            <w:r w:rsidRPr="008111BD">
              <w:rPr>
                <w:rFonts w:ascii="Cambria" w:hAnsi="Cambria"/>
              </w:rPr>
              <w:t>L.p.</w:t>
            </w:r>
          </w:p>
        </w:tc>
        <w:tc>
          <w:tcPr>
            <w:tcW w:w="1021" w:type="pct"/>
          </w:tcPr>
          <w:p w:rsidR="003F3197" w:rsidRPr="008111BD" w:rsidRDefault="003F3197" w:rsidP="00094678">
            <w:pPr>
              <w:ind w:left="32"/>
              <w:rPr>
                <w:rFonts w:ascii="Cambria" w:hAnsi="Cambria"/>
              </w:rPr>
            </w:pPr>
          </w:p>
          <w:p w:rsidR="003F3197" w:rsidRPr="008111BD" w:rsidRDefault="003F3197" w:rsidP="00094678">
            <w:pPr>
              <w:jc w:val="center"/>
              <w:rPr>
                <w:rFonts w:ascii="Cambria" w:hAnsi="Cambria"/>
              </w:rPr>
            </w:pPr>
            <w:r w:rsidRPr="008111BD">
              <w:rPr>
                <w:rFonts w:ascii="Cambria" w:hAnsi="Cambria"/>
              </w:rPr>
              <w:t>Kryterium</w:t>
            </w:r>
          </w:p>
        </w:tc>
        <w:tc>
          <w:tcPr>
            <w:tcW w:w="1757" w:type="pct"/>
          </w:tcPr>
          <w:p w:rsidR="003F3197" w:rsidRPr="008111BD" w:rsidRDefault="003F3197" w:rsidP="00094678">
            <w:pPr>
              <w:jc w:val="center"/>
              <w:rPr>
                <w:rFonts w:ascii="Cambria" w:hAnsi="Cambria"/>
              </w:rPr>
            </w:pPr>
          </w:p>
          <w:p w:rsidR="003F3197" w:rsidRPr="008111BD" w:rsidRDefault="003F3197" w:rsidP="00094678">
            <w:pPr>
              <w:jc w:val="center"/>
              <w:rPr>
                <w:rFonts w:ascii="Cambria" w:hAnsi="Cambria"/>
              </w:rPr>
            </w:pPr>
            <w:r w:rsidRPr="008111BD">
              <w:rPr>
                <w:rFonts w:ascii="Cambria" w:hAnsi="Cambria"/>
              </w:rPr>
              <w:t>Opis kryterium</w:t>
            </w:r>
          </w:p>
        </w:tc>
        <w:tc>
          <w:tcPr>
            <w:tcW w:w="1411" w:type="pct"/>
          </w:tcPr>
          <w:p w:rsidR="003F3197" w:rsidRPr="008111BD" w:rsidRDefault="003F3197" w:rsidP="00094678">
            <w:pPr>
              <w:jc w:val="center"/>
              <w:rPr>
                <w:rFonts w:ascii="Cambria" w:hAnsi="Cambria"/>
              </w:rPr>
            </w:pPr>
          </w:p>
          <w:p w:rsidR="003F3197" w:rsidRPr="008111BD" w:rsidRDefault="003F3197" w:rsidP="00094678">
            <w:pPr>
              <w:jc w:val="center"/>
              <w:rPr>
                <w:rFonts w:ascii="Cambria" w:hAnsi="Cambria"/>
              </w:rPr>
            </w:pPr>
            <w:r w:rsidRPr="008111BD">
              <w:rPr>
                <w:rFonts w:ascii="Cambria" w:hAnsi="Cambria"/>
              </w:rPr>
              <w:t>Punktacja</w:t>
            </w:r>
          </w:p>
        </w:tc>
        <w:tc>
          <w:tcPr>
            <w:tcW w:w="477" w:type="pct"/>
          </w:tcPr>
          <w:p w:rsidR="003F3197" w:rsidRPr="008111BD" w:rsidRDefault="003F3197" w:rsidP="00094678">
            <w:pPr>
              <w:ind w:left="32"/>
              <w:rPr>
                <w:rFonts w:ascii="Cambria" w:hAnsi="Cambria"/>
              </w:rPr>
            </w:pPr>
            <w:r w:rsidRPr="008111BD">
              <w:rPr>
                <w:rFonts w:ascii="Cambria" w:hAnsi="Cambria"/>
              </w:rPr>
              <w:t>Maksymalna liczba punktów</w:t>
            </w:r>
          </w:p>
          <w:p w:rsidR="003F3197" w:rsidRPr="008111BD" w:rsidRDefault="003F3197" w:rsidP="00094678">
            <w:pPr>
              <w:ind w:left="32"/>
              <w:rPr>
                <w:rFonts w:ascii="Cambria" w:hAnsi="Cambria"/>
              </w:rPr>
            </w:pPr>
          </w:p>
        </w:tc>
      </w:tr>
      <w:tr w:rsidR="00DD0252" w:rsidRPr="00177043" w:rsidTr="00DD0252">
        <w:trPr>
          <w:gridAfter w:val="1"/>
          <w:wAfter w:w="12" w:type="pct"/>
        </w:trPr>
        <w:tc>
          <w:tcPr>
            <w:tcW w:w="322" w:type="pct"/>
            <w:tcBorders>
              <w:bottom w:val="single" w:sz="4" w:space="0" w:color="auto"/>
            </w:tcBorders>
          </w:tcPr>
          <w:p w:rsidR="003F3197" w:rsidRPr="00177043" w:rsidRDefault="003F3197" w:rsidP="00094678">
            <w:pPr>
              <w:jc w:val="center"/>
            </w:pPr>
            <w:r w:rsidRPr="00177043">
              <w:t>1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:rsidR="003F3197" w:rsidRPr="00177043" w:rsidRDefault="003F3197" w:rsidP="00094678">
            <w:r w:rsidRPr="00177043">
              <w:t xml:space="preserve">Ocena stanu przygotowania projektu do realizacji </w:t>
            </w:r>
          </w:p>
          <w:p w:rsidR="003F3197" w:rsidRPr="00177043" w:rsidRDefault="003F3197" w:rsidP="00094678">
            <w:pPr>
              <w:ind w:left="32"/>
            </w:pPr>
          </w:p>
        </w:tc>
        <w:tc>
          <w:tcPr>
            <w:tcW w:w="1757" w:type="pct"/>
            <w:tcBorders>
              <w:bottom w:val="single" w:sz="4" w:space="0" w:color="auto"/>
            </w:tcBorders>
          </w:tcPr>
          <w:p w:rsidR="003F3197" w:rsidRPr="00177043" w:rsidRDefault="003F3197" w:rsidP="00094678">
            <w:r w:rsidRPr="00177043">
              <w:t xml:space="preserve">Premiowane będą projekty z jak najwyższym stopniem przygotowania dokumentacji związanej z realizacją projektu. </w:t>
            </w:r>
          </w:p>
          <w:p w:rsidR="003F3197" w:rsidRPr="00177043" w:rsidRDefault="003F3197" w:rsidP="00094678">
            <w:pPr>
              <w:ind w:left="32"/>
              <w:jc w:val="both"/>
            </w:pPr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:rsidR="003F3197" w:rsidRPr="00177043" w:rsidRDefault="003F3197" w:rsidP="00094678">
            <w:r w:rsidRPr="00177043">
              <w:t>Wnioskodawca:</w:t>
            </w:r>
          </w:p>
          <w:p w:rsidR="003F3197" w:rsidRPr="00177043" w:rsidRDefault="003F3197" w:rsidP="00094678"/>
          <w:p w:rsidR="003F3197" w:rsidRPr="00177043" w:rsidRDefault="003F3197" w:rsidP="00094678"/>
          <w:p w:rsidR="003F3197" w:rsidRPr="00177043" w:rsidRDefault="003F3197" w:rsidP="003F31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rPr>
                <w:color w:val="000000"/>
              </w:rPr>
            </w:pPr>
            <w:r w:rsidRPr="00177043">
              <w:rPr>
                <w:color w:val="000000"/>
              </w:rPr>
              <w:t>posiadania pozwolenia na budowę lub nie jest ono wymagane – 5 pkt.;</w:t>
            </w:r>
          </w:p>
          <w:p w:rsidR="003F3197" w:rsidRPr="00177043" w:rsidRDefault="003F3197" w:rsidP="000946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3F3197" w:rsidRPr="00177043" w:rsidRDefault="003F3197" w:rsidP="003F319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nie po</w:t>
            </w:r>
            <w:r w:rsidRPr="00177043">
              <w:rPr>
                <w:color w:val="000000"/>
              </w:rPr>
              <w:t>siada wymaganego pozwolenia na budowę – 0 pkt.</w:t>
            </w:r>
          </w:p>
          <w:p w:rsidR="003F3197" w:rsidRPr="00177043" w:rsidRDefault="003F3197" w:rsidP="0009467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3F3197" w:rsidRPr="00177043" w:rsidRDefault="003F3197" w:rsidP="000946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:rsidR="003F3197" w:rsidRPr="00177043" w:rsidRDefault="003F3197" w:rsidP="00094678">
            <w:r w:rsidRPr="00177043">
              <w:lastRenderedPageBreak/>
              <w:t>Punkty w ramach kryterium nie sumują się.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3F3197" w:rsidRPr="00177043" w:rsidRDefault="003F3197" w:rsidP="00094678">
            <w:pPr>
              <w:ind w:left="32"/>
              <w:jc w:val="center"/>
            </w:pPr>
            <w:r w:rsidRPr="00177043">
              <w:lastRenderedPageBreak/>
              <w:t>5</w:t>
            </w:r>
          </w:p>
        </w:tc>
      </w:tr>
      <w:tr w:rsidR="00DD0252" w:rsidRPr="00177043" w:rsidTr="00DD0252">
        <w:trPr>
          <w:gridAfter w:val="1"/>
          <w:wAfter w:w="12" w:type="pct"/>
          <w:trHeight w:val="4677"/>
        </w:trPr>
        <w:tc>
          <w:tcPr>
            <w:tcW w:w="322" w:type="pct"/>
          </w:tcPr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</w:p>
          <w:p w:rsidR="003F3197" w:rsidRPr="00177043" w:rsidRDefault="003F3197" w:rsidP="00094678">
            <w:pPr>
              <w:jc w:val="center"/>
            </w:pPr>
            <w:r w:rsidRPr="00177043">
              <w:t>2</w:t>
            </w:r>
          </w:p>
        </w:tc>
        <w:tc>
          <w:tcPr>
            <w:tcW w:w="1021" w:type="pct"/>
          </w:tcPr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</w:p>
          <w:p w:rsidR="003F3197" w:rsidRPr="00177043" w:rsidRDefault="003F3197" w:rsidP="00094678">
            <w:pPr>
              <w:ind w:left="32"/>
              <w:jc w:val="center"/>
            </w:pPr>
            <w:r w:rsidRPr="00177043">
              <w:t>Liczba frakcji odpadów objętych selektywnym zbieraniem odpadów</w:t>
            </w:r>
          </w:p>
        </w:tc>
        <w:tc>
          <w:tcPr>
            <w:tcW w:w="1757" w:type="pct"/>
          </w:tcPr>
          <w:p w:rsidR="003F3197" w:rsidRPr="00177043" w:rsidRDefault="003F3197" w:rsidP="00094678">
            <w:pPr>
              <w:ind w:left="32"/>
            </w:pPr>
            <w:r w:rsidRPr="00177043">
              <w:t>Premiowane będą projekty, które będą przyjmowały jak największą liczbę rodzajów odpadów objętych selektywnym zbieraniem odpadów. Zgodnie z katalogiem załączonym do regulaminu konkursu.</w:t>
            </w:r>
          </w:p>
        </w:tc>
        <w:tc>
          <w:tcPr>
            <w:tcW w:w="1411" w:type="pct"/>
          </w:tcPr>
          <w:p w:rsidR="003F3197" w:rsidRPr="00177043" w:rsidRDefault="003F3197" w:rsidP="00094678">
            <w:pPr>
              <w:ind w:left="32"/>
            </w:pPr>
            <w:r w:rsidRPr="00177043">
              <w:t>Liczba frakcji wyselekcjonowanych odpadów:</w:t>
            </w:r>
          </w:p>
          <w:p w:rsidR="003F3197" w:rsidRPr="00177043" w:rsidRDefault="003F3197" w:rsidP="00094678">
            <w:pPr>
              <w:ind w:left="32"/>
            </w:pPr>
          </w:p>
          <w:p w:rsidR="003F3197" w:rsidRPr="00177043" w:rsidRDefault="003F3197" w:rsidP="003F3197">
            <w:pPr>
              <w:numPr>
                <w:ilvl w:val="0"/>
                <w:numId w:val="44"/>
              </w:numPr>
              <w:spacing w:after="0" w:line="240" w:lineRule="auto"/>
            </w:pPr>
            <w:r w:rsidRPr="00177043">
              <w:t>14 - 12 pkt.;</w:t>
            </w:r>
          </w:p>
          <w:p w:rsidR="003F3197" w:rsidRPr="00177043" w:rsidRDefault="003F3197" w:rsidP="00094678">
            <w:pPr>
              <w:ind w:left="32"/>
            </w:pPr>
          </w:p>
          <w:p w:rsidR="003F3197" w:rsidRPr="00177043" w:rsidRDefault="003F3197" w:rsidP="003F3197">
            <w:pPr>
              <w:numPr>
                <w:ilvl w:val="0"/>
                <w:numId w:val="44"/>
              </w:numPr>
              <w:spacing w:after="0" w:line="240" w:lineRule="auto"/>
            </w:pPr>
            <w:r w:rsidRPr="00177043">
              <w:t>13 - 10 pkt.;</w:t>
            </w:r>
          </w:p>
          <w:p w:rsidR="003F3197" w:rsidRPr="00177043" w:rsidRDefault="003F3197" w:rsidP="00094678">
            <w:pPr>
              <w:ind w:left="32"/>
            </w:pPr>
          </w:p>
          <w:p w:rsidR="003F3197" w:rsidRPr="00177043" w:rsidRDefault="003F3197" w:rsidP="003F3197">
            <w:pPr>
              <w:numPr>
                <w:ilvl w:val="0"/>
                <w:numId w:val="44"/>
              </w:numPr>
              <w:spacing w:after="0" w:line="240" w:lineRule="auto"/>
            </w:pPr>
            <w:r w:rsidRPr="00177043">
              <w:t>12 - 8 pkt.;</w:t>
            </w:r>
          </w:p>
          <w:p w:rsidR="003F3197" w:rsidRPr="00177043" w:rsidRDefault="003F3197" w:rsidP="00094678">
            <w:pPr>
              <w:ind w:left="32"/>
            </w:pPr>
          </w:p>
          <w:p w:rsidR="003F3197" w:rsidRPr="00177043" w:rsidRDefault="003F3197" w:rsidP="003F3197">
            <w:pPr>
              <w:numPr>
                <w:ilvl w:val="0"/>
                <w:numId w:val="44"/>
              </w:numPr>
              <w:spacing w:after="0" w:line="240" w:lineRule="auto"/>
            </w:pPr>
            <w:r w:rsidRPr="00177043">
              <w:t>11 - 6 pkt.;</w:t>
            </w:r>
          </w:p>
          <w:p w:rsidR="003F3197" w:rsidRPr="00177043" w:rsidRDefault="003F3197" w:rsidP="00094678">
            <w:pPr>
              <w:pStyle w:val="Akapitzlist"/>
              <w:rPr>
                <w:sz w:val="22"/>
                <w:szCs w:val="22"/>
              </w:rPr>
            </w:pPr>
          </w:p>
          <w:p w:rsidR="003F3197" w:rsidRPr="00177043" w:rsidRDefault="003F3197" w:rsidP="003F3197">
            <w:pPr>
              <w:numPr>
                <w:ilvl w:val="0"/>
                <w:numId w:val="44"/>
              </w:numPr>
              <w:spacing w:after="0" w:line="240" w:lineRule="auto"/>
            </w:pPr>
            <w:r w:rsidRPr="00177043">
              <w:t>10 –  4 pkt.</w:t>
            </w:r>
          </w:p>
          <w:p w:rsidR="003F3197" w:rsidRPr="00177043" w:rsidRDefault="003F3197" w:rsidP="00094678">
            <w:pPr>
              <w:pStyle w:val="Akapitzlist"/>
              <w:rPr>
                <w:sz w:val="22"/>
                <w:szCs w:val="22"/>
              </w:rPr>
            </w:pPr>
          </w:p>
          <w:p w:rsidR="003F3197" w:rsidRPr="00177043" w:rsidRDefault="003F3197" w:rsidP="003F3197">
            <w:pPr>
              <w:numPr>
                <w:ilvl w:val="0"/>
                <w:numId w:val="44"/>
              </w:numPr>
              <w:spacing w:after="0" w:line="240" w:lineRule="auto"/>
            </w:pPr>
            <w:r w:rsidRPr="00177043">
              <w:t>9 – 2 pkt.</w:t>
            </w:r>
          </w:p>
          <w:p w:rsidR="003F3197" w:rsidRPr="00177043" w:rsidRDefault="003F3197" w:rsidP="00094678"/>
          <w:p w:rsidR="003F3197" w:rsidRPr="00177043" w:rsidRDefault="003F3197" w:rsidP="00094678">
            <w:pPr>
              <w:pStyle w:val="Akapitzlist"/>
              <w:ind w:left="0"/>
              <w:rPr>
                <w:sz w:val="22"/>
                <w:szCs w:val="22"/>
              </w:rPr>
            </w:pPr>
            <w:r w:rsidRPr="00177043">
              <w:rPr>
                <w:sz w:val="22"/>
                <w:szCs w:val="22"/>
              </w:rPr>
              <w:t xml:space="preserve">W przypadku gdy projekt obejmuje kilka </w:t>
            </w:r>
            <w:proofErr w:type="spellStart"/>
            <w:r w:rsidRPr="00177043">
              <w:rPr>
                <w:sz w:val="22"/>
                <w:szCs w:val="22"/>
              </w:rPr>
              <w:t>PSZOKów</w:t>
            </w:r>
            <w:proofErr w:type="spellEnd"/>
            <w:r w:rsidRPr="00177043">
              <w:rPr>
                <w:sz w:val="22"/>
                <w:szCs w:val="22"/>
              </w:rPr>
              <w:t xml:space="preserve"> określana jest średnia liczba frakcji. </w:t>
            </w:r>
          </w:p>
          <w:p w:rsidR="003F3197" w:rsidRPr="00177043" w:rsidRDefault="003F3197" w:rsidP="00094678">
            <w:pPr>
              <w:ind w:left="32"/>
            </w:pPr>
          </w:p>
          <w:p w:rsidR="003F3197" w:rsidRPr="00177043" w:rsidRDefault="003F3197" w:rsidP="00094678">
            <w:pPr>
              <w:ind w:left="32"/>
            </w:pPr>
            <w:r w:rsidRPr="00177043">
              <w:t>Punkty w ramach kryterium nie sumują się.</w:t>
            </w:r>
          </w:p>
          <w:p w:rsidR="003F3197" w:rsidRPr="00177043" w:rsidRDefault="003F3197" w:rsidP="00094678">
            <w:pPr>
              <w:ind w:left="32"/>
            </w:pPr>
          </w:p>
          <w:p w:rsidR="003F3197" w:rsidRPr="00177043" w:rsidRDefault="003F3197" w:rsidP="00094678">
            <w:r w:rsidRPr="00177043">
              <w:t xml:space="preserve">Brak spełnienia ww. warunków lub brak </w:t>
            </w:r>
            <w:r w:rsidRPr="00177043">
              <w:lastRenderedPageBreak/>
              <w:t>informacji w tym zakresie – 0 pkt.</w:t>
            </w:r>
          </w:p>
        </w:tc>
        <w:tc>
          <w:tcPr>
            <w:tcW w:w="477" w:type="pct"/>
            <w:vAlign w:val="center"/>
          </w:tcPr>
          <w:p w:rsidR="003F3197" w:rsidRPr="00177043" w:rsidRDefault="003F3197" w:rsidP="00094678">
            <w:pPr>
              <w:ind w:left="32"/>
              <w:jc w:val="center"/>
            </w:pPr>
            <w:r w:rsidRPr="00177043">
              <w:lastRenderedPageBreak/>
              <w:t>12</w:t>
            </w:r>
          </w:p>
        </w:tc>
      </w:tr>
      <w:tr w:rsidR="00DD0252" w:rsidRPr="00177043" w:rsidTr="00DD0252">
        <w:trPr>
          <w:gridAfter w:val="1"/>
          <w:wAfter w:w="12" w:type="pct"/>
          <w:trHeight w:val="4677"/>
        </w:trPr>
        <w:tc>
          <w:tcPr>
            <w:tcW w:w="322" w:type="pct"/>
            <w:vAlign w:val="center"/>
          </w:tcPr>
          <w:p w:rsidR="003F3197" w:rsidRPr="00177043" w:rsidRDefault="003F3197" w:rsidP="00094678">
            <w:pPr>
              <w:jc w:val="center"/>
            </w:pPr>
            <w:r w:rsidRPr="00177043">
              <w:lastRenderedPageBreak/>
              <w:t>3</w:t>
            </w:r>
          </w:p>
        </w:tc>
        <w:tc>
          <w:tcPr>
            <w:tcW w:w="1021" w:type="pct"/>
          </w:tcPr>
          <w:p w:rsidR="003F3197" w:rsidRPr="00177043" w:rsidRDefault="003F3197" w:rsidP="00094678">
            <w:pPr>
              <w:autoSpaceDE w:val="0"/>
              <w:autoSpaceDN w:val="0"/>
            </w:pPr>
            <w:r w:rsidRPr="00177043">
              <w:t>Utworzenie nowych miejsc pracy w ramach projektu</w:t>
            </w:r>
          </w:p>
          <w:p w:rsidR="003F3197" w:rsidRPr="00177043" w:rsidRDefault="003F3197" w:rsidP="00094678">
            <w:pPr>
              <w:autoSpaceDE w:val="0"/>
              <w:autoSpaceDN w:val="0"/>
            </w:pPr>
          </w:p>
        </w:tc>
        <w:tc>
          <w:tcPr>
            <w:tcW w:w="1757" w:type="pct"/>
          </w:tcPr>
          <w:p w:rsidR="003F3197" w:rsidRPr="00177043" w:rsidRDefault="003F3197" w:rsidP="00094678">
            <w:pPr>
              <w:autoSpaceDE w:val="0"/>
              <w:autoSpaceDN w:val="0"/>
              <w:jc w:val="both"/>
            </w:pPr>
            <w:r w:rsidRPr="00177043">
              <w:t>Zgodnie z RPO WM 2014-2020 premiowane będą projekty, w ramach, których utworzono tzw. „zielone miejsce pracy”</w:t>
            </w:r>
            <w:r w:rsidRPr="00177043">
              <w:rPr>
                <w:rStyle w:val="Odwoanieprzypisudolnego"/>
              </w:rPr>
              <w:footnoteReference w:id="2"/>
            </w:r>
            <w:r w:rsidRPr="00177043">
              <w:t>.</w:t>
            </w:r>
          </w:p>
          <w:p w:rsidR="003F3197" w:rsidRPr="00177043" w:rsidRDefault="003F3197" w:rsidP="00094678">
            <w:pPr>
              <w:autoSpaceDE w:val="0"/>
              <w:autoSpaceDN w:val="0"/>
              <w:jc w:val="both"/>
            </w:pPr>
          </w:p>
          <w:p w:rsidR="003F3197" w:rsidRPr="00177043" w:rsidRDefault="003F3197" w:rsidP="00094678">
            <w:pPr>
              <w:pStyle w:val="Default"/>
              <w:spacing w:line="276" w:lineRule="auto"/>
              <w:ind w:righ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Liczba nowych „zielonych miejsc pracy” powinna zostać określona wskaźnikami:</w:t>
            </w:r>
          </w:p>
          <w:p w:rsidR="003F3197" w:rsidRPr="00177043" w:rsidRDefault="003F3197" w:rsidP="003F3197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ind w:left="331"/>
            </w:pPr>
            <w:r w:rsidRPr="00177043">
              <w:t>Wzrost zatrudnienia we wspieranych podmiotach (innych niż przedsiębiorstwa) [EPC]</w:t>
            </w:r>
          </w:p>
          <w:p w:rsidR="003F3197" w:rsidRPr="00177043" w:rsidRDefault="003F3197" w:rsidP="003F3197">
            <w:pPr>
              <w:numPr>
                <w:ilvl w:val="0"/>
                <w:numId w:val="46"/>
              </w:numPr>
              <w:autoSpaceDE w:val="0"/>
              <w:autoSpaceDN w:val="0"/>
              <w:spacing w:after="0" w:line="240" w:lineRule="auto"/>
              <w:ind w:left="331"/>
            </w:pPr>
            <w:r w:rsidRPr="00177043">
              <w:t xml:space="preserve">Wzrost zatrudnienia we wspieranych przedsiębiorstwach [EPC] </w:t>
            </w:r>
          </w:p>
        </w:tc>
        <w:tc>
          <w:tcPr>
            <w:tcW w:w="1411" w:type="pct"/>
          </w:tcPr>
          <w:p w:rsidR="003F3197" w:rsidRPr="00177043" w:rsidRDefault="003F3197" w:rsidP="00094678">
            <w:r w:rsidRPr="00177043">
              <w:t>W wyniku realizacji projektu:</w:t>
            </w:r>
          </w:p>
          <w:p w:rsidR="003F3197" w:rsidRPr="00177043" w:rsidRDefault="003F3197" w:rsidP="00094678">
            <w:pPr>
              <w:ind w:left="244"/>
            </w:pPr>
          </w:p>
          <w:p w:rsidR="003F3197" w:rsidRPr="00177043" w:rsidRDefault="003F3197" w:rsidP="003F3197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244" w:hanging="244"/>
            </w:pPr>
            <w:r w:rsidRPr="00177043">
              <w:t>Utworzono dwa lub więcej miejsc pracy – 4 pkt.;</w:t>
            </w:r>
          </w:p>
          <w:p w:rsidR="003F3197" w:rsidRPr="00177043" w:rsidRDefault="003F3197" w:rsidP="00094678">
            <w:pPr>
              <w:ind w:left="244"/>
            </w:pPr>
          </w:p>
          <w:p w:rsidR="003F3197" w:rsidRPr="00177043" w:rsidRDefault="003F3197" w:rsidP="003F3197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244" w:hanging="244"/>
            </w:pPr>
            <w:r w:rsidRPr="00177043">
              <w:t xml:space="preserve">Utworzono jedno miejsce pracy – 2 pkt. </w:t>
            </w:r>
          </w:p>
          <w:p w:rsidR="003F3197" w:rsidRPr="00177043" w:rsidRDefault="003F3197" w:rsidP="00094678"/>
          <w:p w:rsidR="003F3197" w:rsidRPr="00177043" w:rsidRDefault="003F3197" w:rsidP="00094678">
            <w:pPr>
              <w:ind w:left="32"/>
            </w:pPr>
            <w:r w:rsidRPr="00177043">
              <w:t>Brak spełnienia ww. warunków lub brak informacji w tym zakresie – 0 pkt.</w:t>
            </w:r>
          </w:p>
          <w:p w:rsidR="003F3197" w:rsidRPr="00177043" w:rsidRDefault="003F3197" w:rsidP="00094678"/>
          <w:p w:rsidR="003F3197" w:rsidRPr="00177043" w:rsidRDefault="003F3197" w:rsidP="00094678">
            <w:pPr>
              <w:ind w:left="32"/>
              <w:rPr>
                <w:color w:val="FF0000"/>
              </w:rPr>
            </w:pPr>
          </w:p>
        </w:tc>
        <w:tc>
          <w:tcPr>
            <w:tcW w:w="477" w:type="pct"/>
            <w:vAlign w:val="center"/>
          </w:tcPr>
          <w:p w:rsidR="003F3197" w:rsidRPr="00177043" w:rsidRDefault="003F3197" w:rsidP="00094678">
            <w:pPr>
              <w:jc w:val="center"/>
            </w:pPr>
            <w:r w:rsidRPr="00177043">
              <w:t>4</w:t>
            </w:r>
          </w:p>
        </w:tc>
      </w:tr>
      <w:tr w:rsidR="00DD0252" w:rsidRPr="00177043" w:rsidTr="00DD0252">
        <w:tc>
          <w:tcPr>
            <w:tcW w:w="322" w:type="pct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t>4</w:t>
            </w:r>
          </w:p>
        </w:tc>
        <w:tc>
          <w:tcPr>
            <w:tcW w:w="1021" w:type="pct"/>
          </w:tcPr>
          <w:p w:rsidR="00DD0252" w:rsidRPr="00177043" w:rsidRDefault="00DD0252" w:rsidP="00094678">
            <w:pPr>
              <w:autoSpaceDE w:val="0"/>
              <w:autoSpaceDN w:val="0"/>
              <w:jc w:val="both"/>
            </w:pPr>
            <w:r w:rsidRPr="00177043">
              <w:t>Zasięg projektu</w:t>
            </w:r>
          </w:p>
        </w:tc>
        <w:tc>
          <w:tcPr>
            <w:tcW w:w="1757" w:type="pct"/>
          </w:tcPr>
          <w:p w:rsidR="00DD0252" w:rsidRPr="00177043" w:rsidRDefault="00DD0252" w:rsidP="00094678">
            <w:pPr>
              <w:jc w:val="both"/>
              <w:rPr>
                <w:bCs/>
              </w:rPr>
            </w:pPr>
            <w:r w:rsidRPr="00177043">
              <w:rPr>
                <w:bCs/>
              </w:rPr>
              <w:t xml:space="preserve">Premiowane będą te projekty, które zakładają zasięg obsługi PSZOK obejmujący maksymalnie jedną gminę/dzielnicę i PSZOK zlokalizowany jest na terenie tej </w:t>
            </w:r>
            <w:proofErr w:type="spellStart"/>
            <w:r w:rsidRPr="00177043">
              <w:rPr>
                <w:bCs/>
              </w:rPr>
              <w:t>gminy</w:t>
            </w:r>
            <w:proofErr w:type="spellEnd"/>
            <w:r w:rsidRPr="00177043">
              <w:rPr>
                <w:bCs/>
              </w:rPr>
              <w:t xml:space="preserve">/dzielnicy.  </w:t>
            </w:r>
          </w:p>
          <w:p w:rsidR="00DD0252" w:rsidRPr="00177043" w:rsidRDefault="00DD0252" w:rsidP="00094678">
            <w:pPr>
              <w:autoSpaceDE w:val="0"/>
              <w:autoSpaceDN w:val="0"/>
              <w:jc w:val="both"/>
            </w:pPr>
            <w:r w:rsidRPr="00177043">
              <w:rPr>
                <w:bCs/>
              </w:rPr>
              <w:t xml:space="preserve"> </w:t>
            </w:r>
          </w:p>
        </w:tc>
        <w:tc>
          <w:tcPr>
            <w:tcW w:w="1411" w:type="pct"/>
          </w:tcPr>
          <w:p w:rsidR="00DD0252" w:rsidRPr="00177043" w:rsidRDefault="00DD0252" w:rsidP="00094678">
            <w:r w:rsidRPr="00177043">
              <w:t>Zasięg projektu obejmuje:</w:t>
            </w:r>
          </w:p>
          <w:p w:rsidR="00DD0252" w:rsidRPr="00177043" w:rsidRDefault="00DD0252" w:rsidP="00094678">
            <w:pPr>
              <w:ind w:left="244"/>
            </w:pPr>
          </w:p>
          <w:p w:rsidR="00DD0252" w:rsidRPr="00177043" w:rsidRDefault="00DD0252" w:rsidP="00DD0252">
            <w:pPr>
              <w:numPr>
                <w:ilvl w:val="0"/>
                <w:numId w:val="49"/>
              </w:numPr>
              <w:spacing w:after="0" w:line="240" w:lineRule="auto"/>
              <w:ind w:left="931" w:hanging="284"/>
            </w:pPr>
            <w:r w:rsidRPr="00177043">
              <w:t xml:space="preserve"> maksymalnie jedną gminę/dzielnicę  i zlokalizowany jest na terenie obsługiwanej </w:t>
            </w:r>
            <w:proofErr w:type="spellStart"/>
            <w:r w:rsidRPr="00177043">
              <w:t>gminy</w:t>
            </w:r>
            <w:proofErr w:type="spellEnd"/>
            <w:r w:rsidRPr="00177043">
              <w:t>/dzielnicy - 5 pkt.;</w:t>
            </w:r>
          </w:p>
          <w:p w:rsidR="00DD0252" w:rsidRPr="00177043" w:rsidRDefault="00DD0252" w:rsidP="00094678"/>
          <w:p w:rsidR="00DD0252" w:rsidRPr="00177043" w:rsidRDefault="00DD0252" w:rsidP="00094678">
            <w:pPr>
              <w:ind w:left="32"/>
            </w:pPr>
            <w:r w:rsidRPr="00177043">
              <w:t>Brak spełnienia ww. warunków lub brak informacji w tym zakresie – 0 pkt.</w:t>
            </w:r>
          </w:p>
          <w:p w:rsidR="00DD0252" w:rsidRPr="00177043" w:rsidRDefault="00DD0252" w:rsidP="00094678">
            <w:pPr>
              <w:ind w:left="244"/>
            </w:pPr>
          </w:p>
        </w:tc>
        <w:tc>
          <w:tcPr>
            <w:tcW w:w="489" w:type="pct"/>
            <w:gridSpan w:val="2"/>
            <w:vAlign w:val="center"/>
          </w:tcPr>
          <w:p w:rsidR="00DD0252" w:rsidRPr="00177043" w:rsidRDefault="00DD0252" w:rsidP="00094678">
            <w:pPr>
              <w:jc w:val="center"/>
              <w:rPr>
                <w:b/>
              </w:rPr>
            </w:pPr>
            <w:r w:rsidRPr="00177043">
              <w:rPr>
                <w:rStyle w:val="Pogrubienie"/>
              </w:rPr>
              <w:t>5</w:t>
            </w:r>
          </w:p>
        </w:tc>
      </w:tr>
      <w:tr w:rsidR="00DD0252" w:rsidRPr="00177043" w:rsidTr="00DD0252">
        <w:tc>
          <w:tcPr>
            <w:tcW w:w="322" w:type="pct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lastRenderedPageBreak/>
              <w:t>5</w:t>
            </w:r>
          </w:p>
        </w:tc>
        <w:tc>
          <w:tcPr>
            <w:tcW w:w="1021" w:type="pct"/>
          </w:tcPr>
          <w:p w:rsidR="00DD0252" w:rsidRPr="00177043" w:rsidRDefault="00DD0252" w:rsidP="00094678">
            <w:pPr>
              <w:keepNext/>
              <w:autoSpaceDE w:val="0"/>
              <w:autoSpaceDN w:val="0"/>
            </w:pPr>
            <w:r w:rsidRPr="00177043">
              <w:t>Promocyjna akcja edukacyjna dotycząca selektywnego  zbierania odpadów.</w:t>
            </w:r>
          </w:p>
        </w:tc>
        <w:tc>
          <w:tcPr>
            <w:tcW w:w="1757" w:type="pct"/>
          </w:tcPr>
          <w:p w:rsidR="00DD0252" w:rsidRPr="00177043" w:rsidRDefault="00DD0252" w:rsidP="00094678">
            <w:pPr>
              <w:jc w:val="both"/>
            </w:pPr>
            <w:r w:rsidRPr="00177043">
              <w:t>Premiowane będą projekty, które będą wykorzystywać jak największą liczbę użytych narzędzi kampanii informacyjnej w zakresie podnoszenia świadomości ekologicznej.</w:t>
            </w:r>
          </w:p>
        </w:tc>
        <w:tc>
          <w:tcPr>
            <w:tcW w:w="1411" w:type="pct"/>
          </w:tcPr>
          <w:p w:rsidR="00DD0252" w:rsidRPr="00177043" w:rsidRDefault="00DD0252" w:rsidP="00094678">
            <w:pPr>
              <w:pStyle w:val="Akapitzlist2"/>
              <w:keepNext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77043">
              <w:rPr>
                <w:rFonts w:ascii="Times New Roman" w:eastAsia="Calibri" w:hAnsi="Times New Roman" w:cs="Times New Roman"/>
              </w:rPr>
              <w:t>Narzędzia kampanii informacyjno-promocyjnej</w:t>
            </w:r>
            <w:r w:rsidRPr="00177043">
              <w:rPr>
                <w:rFonts w:ascii="Times New Roman" w:hAnsi="Times New Roman" w:cs="Times New Roman"/>
              </w:rPr>
              <w:t xml:space="preserve"> </w:t>
            </w:r>
            <w:r w:rsidRPr="00177043">
              <w:rPr>
                <w:rFonts w:ascii="Times New Roman" w:eastAsia="Calibri" w:hAnsi="Times New Roman" w:cs="Times New Roman"/>
              </w:rPr>
              <w:t>dotycząca selektywnego  zbierania odpadów:</w:t>
            </w:r>
          </w:p>
          <w:p w:rsidR="00DD0252" w:rsidRPr="00177043" w:rsidRDefault="00DD0252" w:rsidP="00094678">
            <w:pPr>
              <w:pStyle w:val="Akapitzlist2"/>
              <w:keepNext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DD0252" w:rsidRPr="00177043" w:rsidRDefault="00DD0252" w:rsidP="00DD0252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</w:rPr>
            </w:pPr>
            <w:r w:rsidRPr="00177043">
              <w:rPr>
                <w:sz w:val="22"/>
                <w:szCs w:val="22"/>
              </w:rPr>
              <w:t>spotkania z mieszkańcami w gminie, która jest objęta projektem – 1 pkt.;</w:t>
            </w:r>
          </w:p>
          <w:p w:rsidR="00DD0252" w:rsidRPr="00177043" w:rsidRDefault="00DD0252" w:rsidP="00DD0252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</w:rPr>
            </w:pPr>
            <w:r w:rsidRPr="00177043">
              <w:rPr>
                <w:sz w:val="22"/>
                <w:szCs w:val="22"/>
              </w:rPr>
              <w:t xml:space="preserve">materiały w wersji elektronicznej (np. strona internetowa, w tym materiały do pobrania oraz publikacje </w:t>
            </w:r>
            <w:proofErr w:type="spellStart"/>
            <w:r w:rsidRPr="00177043">
              <w:rPr>
                <w:sz w:val="22"/>
                <w:szCs w:val="22"/>
              </w:rPr>
              <w:t>on-line</w:t>
            </w:r>
            <w:proofErr w:type="spellEnd"/>
            <w:r w:rsidRPr="00177043">
              <w:rPr>
                <w:sz w:val="22"/>
                <w:szCs w:val="22"/>
              </w:rPr>
              <w:t xml:space="preserve"> itd.) – 1 pkt.;</w:t>
            </w:r>
          </w:p>
          <w:p w:rsidR="00DD0252" w:rsidRPr="00177043" w:rsidRDefault="00DD0252" w:rsidP="00DD0252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wydawnictwa (</w:t>
            </w:r>
            <w:r w:rsidRPr="00177043">
              <w:rPr>
                <w:sz w:val="22"/>
                <w:szCs w:val="22"/>
              </w:rPr>
              <w:t>ulotki, broszury, plakaty itd.) – 1pkt.;</w:t>
            </w:r>
          </w:p>
          <w:p w:rsidR="00DD0252" w:rsidRPr="00177043" w:rsidRDefault="00DD0252" w:rsidP="00DD0252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</w:rPr>
            </w:pPr>
            <w:r w:rsidRPr="00177043">
              <w:rPr>
                <w:sz w:val="22"/>
                <w:szCs w:val="22"/>
              </w:rPr>
              <w:t>artykuł w prasie lub/i audycja radiowa lub/i reklama telewizyjna - 1pkt.;</w:t>
            </w:r>
          </w:p>
          <w:p w:rsidR="00DD0252" w:rsidRPr="00177043" w:rsidRDefault="00DD0252" w:rsidP="00DD0252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sz w:val="22"/>
                <w:szCs w:val="22"/>
              </w:rPr>
            </w:pPr>
            <w:r w:rsidRPr="00177043">
              <w:rPr>
                <w:sz w:val="22"/>
                <w:szCs w:val="22"/>
              </w:rPr>
              <w:t>pozostałe narzędzia informacyjno-edukacyjne niewymienionych powyżej (np. festyn, piknik) - 1 pkt.</w:t>
            </w:r>
          </w:p>
          <w:p w:rsidR="00DD0252" w:rsidRPr="00177043" w:rsidRDefault="00DD0252" w:rsidP="00094678"/>
          <w:p w:rsidR="00DD0252" w:rsidRPr="00177043" w:rsidRDefault="00DD0252" w:rsidP="00094678"/>
          <w:p w:rsidR="00DD0252" w:rsidRPr="00177043" w:rsidRDefault="00DD0252" w:rsidP="00094678">
            <w:r w:rsidRPr="00177043">
              <w:t>Punkty w ramach kryterium sumują się.</w:t>
            </w:r>
          </w:p>
          <w:p w:rsidR="00DD0252" w:rsidRPr="00177043" w:rsidRDefault="00DD0252" w:rsidP="00094678"/>
          <w:p w:rsidR="00DD0252" w:rsidRPr="00177043" w:rsidRDefault="00DD0252" w:rsidP="00094678">
            <w:r w:rsidRPr="00177043">
              <w:t>Brak spełnienia ww. warunków lub brak informacji w tym zakresie – 0 pkt.</w:t>
            </w:r>
          </w:p>
          <w:p w:rsidR="00DD0252" w:rsidRPr="00177043" w:rsidRDefault="00DD0252" w:rsidP="00094678"/>
          <w:p w:rsidR="00DD0252" w:rsidRPr="00177043" w:rsidRDefault="00DD0252" w:rsidP="00094678">
            <w:pPr>
              <w:rPr>
                <w:color w:val="FF0000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t>5</w:t>
            </w:r>
          </w:p>
        </w:tc>
      </w:tr>
      <w:tr w:rsidR="00DD0252" w:rsidRPr="00177043" w:rsidTr="00DD0252">
        <w:tc>
          <w:tcPr>
            <w:tcW w:w="322" w:type="pct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lastRenderedPageBreak/>
              <w:t>6</w:t>
            </w:r>
          </w:p>
        </w:tc>
        <w:tc>
          <w:tcPr>
            <w:tcW w:w="1021" w:type="pct"/>
          </w:tcPr>
          <w:p w:rsidR="00DD0252" w:rsidRPr="00177043" w:rsidRDefault="00DD0252" w:rsidP="000946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Kompleksowość projektu</w:t>
            </w:r>
          </w:p>
        </w:tc>
        <w:tc>
          <w:tcPr>
            <w:tcW w:w="1757" w:type="pct"/>
          </w:tcPr>
          <w:p w:rsidR="00DD0252" w:rsidRPr="00177043" w:rsidRDefault="00DD0252" w:rsidP="00094678">
            <w:pPr>
              <w:jc w:val="both"/>
            </w:pPr>
            <w:r w:rsidRPr="00177043">
              <w:t>Premiowane będą projekty w ramach których utworzone będą nowe funkcje PSZOK. Nowe funkcje muszą opierać się na założeniach hierarchii sposobów postępowania z odpadami.</w:t>
            </w:r>
          </w:p>
        </w:tc>
        <w:tc>
          <w:tcPr>
            <w:tcW w:w="1411" w:type="pct"/>
          </w:tcPr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Dodatkowe funkcje PSZOK: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DD0252">
            <w:pPr>
              <w:pStyle w:val="Default"/>
              <w:numPr>
                <w:ilvl w:val="0"/>
                <w:numId w:val="47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utworzenie punktu napraw (przygotowania do ponownego użycia)</w:t>
            </w:r>
            <w:r w:rsidRPr="00177043">
              <w:rPr>
                <w:rStyle w:val="Odwoanieprzypisudolnego"/>
                <w:rFonts w:ascii="Times New Roman" w:hAnsi="Times New Roman"/>
                <w:color w:val="auto"/>
                <w:sz w:val="22"/>
                <w:szCs w:val="22"/>
              </w:rPr>
              <w:footnoteReference w:id="3"/>
            </w: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5 pkt.;</w:t>
            </w:r>
          </w:p>
          <w:p w:rsidR="00DD0252" w:rsidRPr="00177043" w:rsidRDefault="00DD0252" w:rsidP="0009467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DD0252">
            <w:pPr>
              <w:pStyle w:val="Default"/>
              <w:numPr>
                <w:ilvl w:val="0"/>
                <w:numId w:val="47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utworzenie punktu przyjmowania rzeczy używanych niestanowiących odpadów, celem ponownego użycia</w:t>
            </w:r>
            <w:r w:rsidRPr="00177043">
              <w:rPr>
                <w:rStyle w:val="Odwoanieprzypisudolnego"/>
                <w:rFonts w:ascii="Times New Roman" w:hAnsi="Times New Roman"/>
                <w:color w:val="auto"/>
                <w:sz w:val="22"/>
                <w:szCs w:val="22"/>
              </w:rPr>
              <w:footnoteReference w:id="4"/>
            </w: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 5 pkt.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094678">
            <w:pPr>
              <w:pStyle w:val="Akapitzlist2"/>
              <w:keepNext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77043">
              <w:rPr>
                <w:rFonts w:ascii="Times New Roman" w:eastAsia="Calibri" w:hAnsi="Times New Roman" w:cs="Times New Roman"/>
              </w:rPr>
              <w:t xml:space="preserve">Jeżeli projekt obejmuje kilka </w:t>
            </w:r>
            <w:proofErr w:type="spellStart"/>
            <w:r w:rsidRPr="00177043">
              <w:rPr>
                <w:rFonts w:ascii="Times New Roman" w:eastAsia="Calibri" w:hAnsi="Times New Roman" w:cs="Times New Roman"/>
              </w:rPr>
              <w:t>PSZOKów</w:t>
            </w:r>
            <w:proofErr w:type="spellEnd"/>
            <w:r w:rsidRPr="00177043">
              <w:rPr>
                <w:rFonts w:ascii="Times New Roman" w:eastAsia="Calibri" w:hAnsi="Times New Roman" w:cs="Times New Roman"/>
              </w:rPr>
              <w:t xml:space="preserve"> dodatkowe funkcje musza znajdować się w min. jednym z nich.</w:t>
            </w:r>
          </w:p>
          <w:p w:rsidR="00DD0252" w:rsidRPr="00177043" w:rsidRDefault="00DD0252" w:rsidP="00094678">
            <w:pPr>
              <w:pStyle w:val="Akapitzlist2"/>
              <w:keepNext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D0252" w:rsidRPr="00177043" w:rsidRDefault="00DD0252" w:rsidP="00094678">
            <w:pPr>
              <w:ind w:left="32"/>
            </w:pPr>
            <w:r w:rsidRPr="00177043">
              <w:t>Punkty w ramach kryterium sumują się.</w:t>
            </w:r>
          </w:p>
          <w:p w:rsidR="00DD0252" w:rsidRPr="00177043" w:rsidRDefault="00DD0252" w:rsidP="00094678">
            <w:pPr>
              <w:ind w:left="32"/>
            </w:pPr>
          </w:p>
          <w:p w:rsidR="00DD0252" w:rsidRPr="00177043" w:rsidRDefault="00DD0252" w:rsidP="00094678">
            <w:pPr>
              <w:ind w:left="32"/>
            </w:pPr>
            <w:r w:rsidRPr="00177043">
              <w:t>Brak spełnienia ww. warunków lub brak informacji w tym zakresie – 0 pkt.</w:t>
            </w:r>
          </w:p>
          <w:p w:rsidR="00DD0252" w:rsidRPr="00177043" w:rsidRDefault="00DD0252" w:rsidP="00094678">
            <w:pPr>
              <w:pStyle w:val="Akapitzlist2"/>
              <w:keepNext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t>10</w:t>
            </w:r>
          </w:p>
        </w:tc>
      </w:tr>
      <w:tr w:rsidR="00DD0252" w:rsidRPr="00177043" w:rsidTr="00DD0252">
        <w:tc>
          <w:tcPr>
            <w:tcW w:w="322" w:type="pct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t>7</w:t>
            </w:r>
          </w:p>
        </w:tc>
        <w:tc>
          <w:tcPr>
            <w:tcW w:w="1021" w:type="pct"/>
          </w:tcPr>
          <w:p w:rsidR="00DD0252" w:rsidRPr="00177043" w:rsidRDefault="00DD0252" w:rsidP="000946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Dostępność PSZOK</w:t>
            </w:r>
          </w:p>
        </w:tc>
        <w:tc>
          <w:tcPr>
            <w:tcW w:w="1757" w:type="pct"/>
          </w:tcPr>
          <w:p w:rsidR="00DD0252" w:rsidRPr="00177043" w:rsidRDefault="00DD0252" w:rsidP="00094678">
            <w:pPr>
              <w:jc w:val="both"/>
            </w:pPr>
            <w:r w:rsidRPr="00177043">
              <w:t>Premiowane będą projekty w ramach których PSZOK będzie funkcjonował w jak najdłuższym wymiarze czasowym.</w:t>
            </w:r>
          </w:p>
        </w:tc>
        <w:tc>
          <w:tcPr>
            <w:tcW w:w="1411" w:type="pct"/>
          </w:tcPr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PSZOK funkcjonuje: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DD0252">
            <w:pPr>
              <w:pStyle w:val="Default"/>
              <w:numPr>
                <w:ilvl w:val="0"/>
                <w:numId w:val="48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8 godz., 5 dni w tygodniu, w tym sobota, min. do godz. 17:00 – 2 pkt.;</w:t>
            </w:r>
          </w:p>
          <w:p w:rsidR="00DD0252" w:rsidRPr="00177043" w:rsidRDefault="00DD0252" w:rsidP="00DD0252">
            <w:pPr>
              <w:pStyle w:val="Default"/>
              <w:numPr>
                <w:ilvl w:val="0"/>
                <w:numId w:val="48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min. 8 godz., 5 dni w tygodniu, w tym sobota, min. do godz. 18:00 – 4 </w:t>
            </w: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pkt.;</w:t>
            </w:r>
          </w:p>
          <w:p w:rsidR="00DD0252" w:rsidRPr="00177043" w:rsidRDefault="00DD0252" w:rsidP="00DD0252">
            <w:pPr>
              <w:pStyle w:val="Default"/>
              <w:numPr>
                <w:ilvl w:val="0"/>
                <w:numId w:val="48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8 godz., 5 dni w tygodniu, w tym sobota, min. do godz. 19:00 – 6 pkt.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Punkty w ramach kryterium nie sumują się.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Brak spełnienia ww. warunków lub brak informacji w tym zakresie – 0 pkt.</w:t>
            </w:r>
          </w:p>
        </w:tc>
        <w:tc>
          <w:tcPr>
            <w:tcW w:w="489" w:type="pct"/>
            <w:gridSpan w:val="2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lastRenderedPageBreak/>
              <w:t>6</w:t>
            </w:r>
          </w:p>
        </w:tc>
      </w:tr>
      <w:tr w:rsidR="00DD0252" w:rsidRPr="00177043" w:rsidTr="00DD0252">
        <w:trPr>
          <w:trHeight w:val="338"/>
        </w:trPr>
        <w:tc>
          <w:tcPr>
            <w:tcW w:w="322" w:type="pct"/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lastRenderedPageBreak/>
              <w:t>8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0252" w:rsidRPr="00177043" w:rsidRDefault="00DD0252" w:rsidP="0009467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Zaangażowanie własnego kapitału Wnioskodawcy</w:t>
            </w:r>
          </w:p>
        </w:tc>
        <w:tc>
          <w:tcPr>
            <w:tcW w:w="1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0252" w:rsidRPr="00177043" w:rsidRDefault="00DD0252" w:rsidP="00094678">
            <w:pPr>
              <w:jc w:val="both"/>
            </w:pPr>
            <w:r w:rsidRPr="00177043">
              <w:t>Premiowane będą projekty, w których wkład własny jest  wyższy niż minimalny dopuszczalny wkład własny beneficjenta.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0252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Wkład własny beneficjenta przekraczający wymagany minimalny wkład własny, liczony od kwoty </w:t>
            </w:r>
            <w:proofErr w:type="spellStart"/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kwalifikowalnej</w:t>
            </w:r>
            <w:proofErr w:type="spellEnd"/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ogółem: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Default="00DD0252" w:rsidP="00DD0252">
            <w:pPr>
              <w:pStyle w:val="Default"/>
              <w:numPr>
                <w:ilvl w:val="0"/>
                <w:numId w:val="50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powyżej 10 % - 10 pkt.</w:t>
            </w: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DD0252" w:rsidRDefault="00DD0252" w:rsidP="00094678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Default="00DD0252" w:rsidP="00DD0252">
            <w:pPr>
              <w:pStyle w:val="Default"/>
              <w:numPr>
                <w:ilvl w:val="0"/>
                <w:numId w:val="50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powyżej 5 % do 10% - 5 pkt.</w:t>
            </w: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DD0252" w:rsidRDefault="00DD0252" w:rsidP="00094678">
            <w:pPr>
              <w:pStyle w:val="Akapitzlist"/>
              <w:rPr>
                <w:sz w:val="22"/>
                <w:szCs w:val="22"/>
              </w:rPr>
            </w:pPr>
          </w:p>
          <w:p w:rsidR="00DD0252" w:rsidRPr="00177043" w:rsidRDefault="00DD0252" w:rsidP="00DD0252">
            <w:pPr>
              <w:pStyle w:val="Default"/>
              <w:numPr>
                <w:ilvl w:val="0"/>
                <w:numId w:val="50"/>
              </w:numPr>
              <w:adjustRightInd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 2 % do 5% - 2 pkt</w:t>
            </w:r>
            <w:r w:rsidRPr="001770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DD0252" w:rsidRPr="00177043" w:rsidRDefault="00DD0252" w:rsidP="0009467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D0252" w:rsidRPr="00177043" w:rsidRDefault="00DD0252" w:rsidP="00094678">
            <w:pPr>
              <w:ind w:right="34"/>
              <w:jc w:val="both"/>
            </w:pPr>
            <w:r w:rsidRPr="00177043">
              <w:t>Brak spełnienia ww. warunku lub brak informacji w tym zakresie – 0 pkt.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D0252" w:rsidRPr="00177043" w:rsidRDefault="00DD0252" w:rsidP="00094678">
            <w:pPr>
              <w:jc w:val="center"/>
            </w:pPr>
            <w:r w:rsidRPr="00177043">
              <w:t>10</w:t>
            </w:r>
          </w:p>
        </w:tc>
      </w:tr>
      <w:tr w:rsidR="00DD0252" w:rsidTr="00DD0252">
        <w:trPr>
          <w:trHeight w:val="338"/>
        </w:trPr>
        <w:tc>
          <w:tcPr>
            <w:tcW w:w="322" w:type="pct"/>
            <w:vAlign w:val="center"/>
          </w:tcPr>
          <w:p w:rsidR="00DD0252" w:rsidRPr="00177043" w:rsidDel="00B53F61" w:rsidRDefault="00DD0252" w:rsidP="00094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704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4189" w:type="pct"/>
            <w:gridSpan w:val="3"/>
          </w:tcPr>
          <w:p w:rsidR="00DD0252" w:rsidRPr="000D26D7" w:rsidRDefault="00DD0252" w:rsidP="00094678">
            <w:pPr>
              <w:ind w:right="34"/>
              <w:jc w:val="both"/>
              <w:rPr>
                <w:rFonts w:ascii="Cambria" w:hAnsi="Cambria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DD0252" w:rsidRDefault="00DD0252" w:rsidP="0009467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</w:t>
            </w:r>
          </w:p>
        </w:tc>
      </w:tr>
    </w:tbl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3F3197" w:rsidRDefault="003F3197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p w:rsidR="001D4759" w:rsidRPr="00E62477" w:rsidRDefault="001D4759" w:rsidP="004834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</w:p>
    <w:sectPr w:rsidR="001D4759" w:rsidRPr="00E62477" w:rsidSect="00E558E6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753" w:rsidRDefault="000C7753" w:rsidP="00017BEB">
      <w:pPr>
        <w:spacing w:after="0" w:line="240" w:lineRule="auto"/>
      </w:pPr>
      <w:r>
        <w:separator/>
      </w:r>
    </w:p>
  </w:endnote>
  <w:endnote w:type="continuationSeparator" w:id="0">
    <w:p w:rsidR="000C7753" w:rsidRDefault="000C7753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9060000" w:usb2="00000010" w:usb3="00000000" w:csb0="0008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753" w:rsidRDefault="000C7753" w:rsidP="00017BEB">
      <w:pPr>
        <w:spacing w:after="0" w:line="240" w:lineRule="auto"/>
      </w:pPr>
      <w:r>
        <w:separator/>
      </w:r>
    </w:p>
  </w:footnote>
  <w:footnote w:type="continuationSeparator" w:id="0">
    <w:p w:rsidR="000C7753" w:rsidRDefault="000C7753" w:rsidP="00017BEB">
      <w:pPr>
        <w:spacing w:after="0" w:line="240" w:lineRule="auto"/>
      </w:pPr>
      <w:r>
        <w:continuationSeparator/>
      </w:r>
    </w:p>
  </w:footnote>
  <w:footnote w:id="1">
    <w:p w:rsidR="00037A44" w:rsidRPr="00086EE5" w:rsidRDefault="00037A44" w:rsidP="00037A44">
      <w:pPr>
        <w:pStyle w:val="Tekstprzypisudolnego"/>
        <w:jc w:val="both"/>
        <w:rPr>
          <w:rFonts w:cs="Arial"/>
          <w:szCs w:val="16"/>
        </w:rPr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 xml:space="preserve">wyłącza możliwości przeprowadzenia przed dniem przekazania informacji o wyborze projektu do dofinansowania kontroli prawidłowości udzielenia zamówień w projekcie, której wynik determinuje ostateczną </w:t>
      </w:r>
      <w:proofErr w:type="spellStart"/>
      <w:r w:rsidRPr="00957893">
        <w:rPr>
          <w:sz w:val="15"/>
          <w:szCs w:val="15"/>
        </w:rPr>
        <w:t>kwalifikowalność</w:t>
      </w:r>
      <w:proofErr w:type="spellEnd"/>
      <w:r w:rsidRPr="00957893">
        <w:rPr>
          <w:sz w:val="15"/>
          <w:szCs w:val="15"/>
        </w:rPr>
        <w:t xml:space="preserve">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</w:t>
      </w:r>
      <w:proofErr w:type="spellStart"/>
      <w:r w:rsidRPr="00957893">
        <w:rPr>
          <w:rFonts w:cs="Arial"/>
          <w:sz w:val="15"/>
          <w:szCs w:val="15"/>
        </w:rPr>
        <w:t>kwalifikowalności</w:t>
      </w:r>
      <w:proofErr w:type="spellEnd"/>
      <w:r w:rsidRPr="00957893">
        <w:rPr>
          <w:rFonts w:cs="Arial"/>
          <w:sz w:val="15"/>
          <w:szCs w:val="15"/>
        </w:rPr>
        <w:t xml:space="preserve"> wydatków w ramach EFRR, EFS oraz FS na lata 2014 – 2020.</w:t>
      </w:r>
      <w:r>
        <w:rPr>
          <w:rFonts w:cs="Arial"/>
          <w:szCs w:val="16"/>
        </w:rPr>
        <w:t xml:space="preserve"> </w:t>
      </w:r>
    </w:p>
    <w:p w:rsidR="00037A44" w:rsidRDefault="00037A44" w:rsidP="00037A44">
      <w:pPr>
        <w:pStyle w:val="Tekstprzypisudolnego"/>
        <w:jc w:val="both"/>
      </w:pPr>
    </w:p>
  </w:footnote>
  <w:footnote w:id="2">
    <w:p w:rsidR="003F3197" w:rsidRPr="00177043" w:rsidRDefault="003F3197" w:rsidP="003F3197">
      <w:pPr>
        <w:pStyle w:val="Tekstprzypisudolnego"/>
        <w:rPr>
          <w:rFonts w:ascii="Arial" w:hAnsi="Arial" w:cs="Arial"/>
          <w:sz w:val="18"/>
          <w:szCs w:val="18"/>
        </w:rPr>
      </w:pPr>
      <w:r w:rsidRPr="0017704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77043">
        <w:rPr>
          <w:rFonts w:ascii="Arial" w:hAnsi="Arial" w:cs="Arial"/>
          <w:sz w:val="18"/>
          <w:szCs w:val="18"/>
        </w:rPr>
        <w:t xml:space="preserve"> Dotyczy tylko zatrudnionych na umowę o pracę (nie dotyczy umów cywilnoprawnych)</w:t>
      </w:r>
      <w:r>
        <w:rPr>
          <w:rFonts w:ascii="Arial" w:hAnsi="Arial" w:cs="Arial"/>
          <w:sz w:val="18"/>
          <w:szCs w:val="18"/>
        </w:rPr>
        <w:t>. Należy zliczyć etaty utworzone w wyniku realizacji projektu, wykazywanych w ekwiwalencie pełnego czasu pracy (EPC), przy czym etaty częściowe podlegają sumowaniu lecz nie są zaokrąglane do pełnych jednostek.</w:t>
      </w:r>
    </w:p>
  </w:footnote>
  <w:footnote w:id="3">
    <w:p w:rsidR="00DD0252" w:rsidRPr="00177043" w:rsidRDefault="00DD0252" w:rsidP="00DD02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7043">
        <w:rPr>
          <w:rFonts w:ascii="Arial" w:hAnsi="Arial" w:cs="Arial"/>
          <w:sz w:val="18"/>
          <w:szCs w:val="18"/>
        </w:rPr>
        <w:t xml:space="preserve">Przez przygotowanie do ponownego użycia, zgodnie z ustawą z dnia 14 grudnia 2012 r. o odpadach (Dz. U. z 2013 r. poz. 21, z </w:t>
      </w:r>
      <w:proofErr w:type="spellStart"/>
      <w:r w:rsidRPr="00177043">
        <w:rPr>
          <w:rFonts w:ascii="Arial" w:hAnsi="Arial" w:cs="Arial"/>
          <w:sz w:val="18"/>
          <w:szCs w:val="18"/>
        </w:rPr>
        <w:t>późn</w:t>
      </w:r>
      <w:proofErr w:type="spellEnd"/>
      <w:r w:rsidRPr="00177043">
        <w:rPr>
          <w:rFonts w:ascii="Arial" w:hAnsi="Arial" w:cs="Arial"/>
          <w:sz w:val="18"/>
          <w:szCs w:val="18"/>
        </w:rPr>
        <w:t>. zm.), rozumie się odzysk polegający na sprawdzeniu, czyszczeniu lub naprawie, w ramach którego produkty lub części produktów, które wcześniej stały się odpadami, są przygotowane do tego, aby mogły być ponownie wykorzystywane bez jakichkolwiek innych czynności wstępnego przetwarzania</w:t>
      </w:r>
      <w:r w:rsidRPr="00177043">
        <w:rPr>
          <w:rFonts w:ascii="Arial" w:hAnsi="Arial" w:cs="Arial"/>
        </w:rPr>
        <w:t>.</w:t>
      </w:r>
    </w:p>
  </w:footnote>
  <w:footnote w:id="4">
    <w:p w:rsidR="00DD0252" w:rsidRPr="00177043" w:rsidRDefault="00DD0252" w:rsidP="00DD02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77043">
        <w:rPr>
          <w:rFonts w:ascii="Arial" w:hAnsi="Arial" w:cs="Arial"/>
          <w:sz w:val="18"/>
          <w:szCs w:val="18"/>
        </w:rPr>
        <w:t>Przez ponowne użycie, zgodnie z ustawą z dnia 14 grudnia 2012 r. o odpadach, rozumie się działanie polegające na wykorzystywaniu produktów lub części produktów niebędących odpadami ponownie do tego samego celu, do którego były przeznaczone</w:t>
      </w:r>
      <w:r w:rsidRPr="00177043">
        <w:rPr>
          <w:rFonts w:ascii="Arial" w:hAnsi="Arial" w:cs="Arial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A44" w:rsidRDefault="00037A44" w:rsidP="00E558E6">
    <w:pPr>
      <w:pStyle w:val="Nagwek"/>
      <w:jc w:val="center"/>
    </w:pPr>
  </w:p>
  <w:p w:rsidR="00037A44" w:rsidRDefault="00037A44" w:rsidP="00F01AF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9144000" cy="685800"/>
          <wp:effectExtent l="19050" t="0" r="0" b="0"/>
          <wp:docPr id="1" name="Obraz 1" descr="8d26e0aec3a51c64218bd127f90edaf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d26e0aec3a51c64218bd127f90edaf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678B6C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  <w:sz w:val="22"/>
        <w:szCs w:val="22"/>
      </w:rPr>
    </w:lvl>
  </w:abstractNum>
  <w:abstractNum w:abstractNumId="1">
    <w:nsid w:val="026B7BD2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68EB"/>
    <w:multiLevelType w:val="hybridMultilevel"/>
    <w:tmpl w:val="64B27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8537D"/>
    <w:multiLevelType w:val="hybridMultilevel"/>
    <w:tmpl w:val="4A7A9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90F21"/>
    <w:multiLevelType w:val="hybridMultilevel"/>
    <w:tmpl w:val="6908F832"/>
    <w:lvl w:ilvl="0" w:tplc="20A008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3FF04E4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76B53"/>
    <w:multiLevelType w:val="hybridMultilevel"/>
    <w:tmpl w:val="BD12D3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5D969AF"/>
    <w:multiLevelType w:val="hybridMultilevel"/>
    <w:tmpl w:val="7B6C633C"/>
    <w:lvl w:ilvl="0" w:tplc="0415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44A2"/>
    <w:multiLevelType w:val="multilevel"/>
    <w:tmpl w:val="E6D4E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14812"/>
    <w:multiLevelType w:val="hybridMultilevel"/>
    <w:tmpl w:val="33247B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3A7578"/>
    <w:multiLevelType w:val="hybridMultilevel"/>
    <w:tmpl w:val="BDECB414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4CF5E96"/>
    <w:multiLevelType w:val="hybridMultilevel"/>
    <w:tmpl w:val="F0FA2C36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7">
    <w:nsid w:val="25BA0545"/>
    <w:multiLevelType w:val="hybridMultilevel"/>
    <w:tmpl w:val="B75CB3D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27773249"/>
    <w:multiLevelType w:val="hybridMultilevel"/>
    <w:tmpl w:val="D150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363CC"/>
    <w:multiLevelType w:val="hybridMultilevel"/>
    <w:tmpl w:val="2E168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D6650B"/>
    <w:multiLevelType w:val="hybridMultilevel"/>
    <w:tmpl w:val="42B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16753"/>
    <w:multiLevelType w:val="hybridMultilevel"/>
    <w:tmpl w:val="7312D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94548"/>
    <w:multiLevelType w:val="hybridMultilevel"/>
    <w:tmpl w:val="3F2C1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C4296"/>
    <w:multiLevelType w:val="hybridMultilevel"/>
    <w:tmpl w:val="48009BD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55A7B"/>
    <w:multiLevelType w:val="hybridMultilevel"/>
    <w:tmpl w:val="F6F82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1B209A"/>
    <w:multiLevelType w:val="hybridMultilevel"/>
    <w:tmpl w:val="B846D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0B707B"/>
    <w:multiLevelType w:val="hybridMultilevel"/>
    <w:tmpl w:val="DD24269C"/>
    <w:lvl w:ilvl="0" w:tplc="0415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1">
    <w:nsid w:val="5BC856F1"/>
    <w:multiLevelType w:val="hybridMultilevel"/>
    <w:tmpl w:val="664E2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37A57"/>
    <w:multiLevelType w:val="hybridMultilevel"/>
    <w:tmpl w:val="BFDAA86C"/>
    <w:lvl w:ilvl="0" w:tplc="3204358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A81545"/>
    <w:multiLevelType w:val="hybridMultilevel"/>
    <w:tmpl w:val="76D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DC4D6A"/>
    <w:multiLevelType w:val="hybridMultilevel"/>
    <w:tmpl w:val="749AAF6C"/>
    <w:lvl w:ilvl="0" w:tplc="889A1186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76DD1"/>
    <w:multiLevelType w:val="hybridMultilevel"/>
    <w:tmpl w:val="9440D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ED2770"/>
    <w:multiLevelType w:val="hybridMultilevel"/>
    <w:tmpl w:val="4230A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F3094C"/>
    <w:multiLevelType w:val="hybridMultilevel"/>
    <w:tmpl w:val="9736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6A7F3D"/>
    <w:multiLevelType w:val="hybridMultilevel"/>
    <w:tmpl w:val="2EE450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9EB0C8">
      <w:start w:val="1"/>
      <w:numFmt w:val="decimal"/>
      <w:lvlText w:val="%2."/>
      <w:lvlJc w:val="center"/>
      <w:pPr>
        <w:tabs>
          <w:tab w:val="num" w:pos="1440"/>
        </w:tabs>
        <w:ind w:left="1627" w:hanging="547"/>
      </w:pPr>
      <w:rPr>
        <w:rFonts w:cs="Times New Roman" w:hint="default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F931A4"/>
    <w:multiLevelType w:val="hybridMultilevel"/>
    <w:tmpl w:val="D6B8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2068E2"/>
    <w:multiLevelType w:val="hybridMultilevel"/>
    <w:tmpl w:val="FC9A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F6356"/>
    <w:multiLevelType w:val="hybridMultilevel"/>
    <w:tmpl w:val="4CBE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4D1BB4"/>
    <w:multiLevelType w:val="hybridMultilevel"/>
    <w:tmpl w:val="58EE088E"/>
    <w:lvl w:ilvl="0" w:tplc="F6ACEBEC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CF13FF"/>
    <w:multiLevelType w:val="hybridMultilevel"/>
    <w:tmpl w:val="C7DCBCCE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>
    <w:nsid w:val="7D7A7853"/>
    <w:multiLevelType w:val="hybridMultilevel"/>
    <w:tmpl w:val="D754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10"/>
  </w:num>
  <w:num w:numId="4">
    <w:abstractNumId w:val="2"/>
  </w:num>
  <w:num w:numId="5">
    <w:abstractNumId w:val="30"/>
  </w:num>
  <w:num w:numId="6">
    <w:abstractNumId w:val="45"/>
  </w:num>
  <w:num w:numId="7">
    <w:abstractNumId w:val="32"/>
  </w:num>
  <w:num w:numId="8">
    <w:abstractNumId w:val="15"/>
  </w:num>
  <w:num w:numId="9">
    <w:abstractNumId w:val="1"/>
  </w:num>
  <w:num w:numId="10">
    <w:abstractNumId w:val="12"/>
  </w:num>
  <w:num w:numId="11">
    <w:abstractNumId w:val="35"/>
  </w:num>
  <w:num w:numId="12">
    <w:abstractNumId w:val="3"/>
  </w:num>
  <w:num w:numId="13">
    <w:abstractNumId w:val="46"/>
  </w:num>
  <w:num w:numId="14">
    <w:abstractNumId w:val="23"/>
  </w:num>
  <w:num w:numId="15">
    <w:abstractNumId w:val="4"/>
  </w:num>
  <w:num w:numId="16">
    <w:abstractNumId w:val="34"/>
  </w:num>
  <w:num w:numId="17">
    <w:abstractNumId w:val="37"/>
  </w:num>
  <w:num w:numId="18">
    <w:abstractNumId w:val="20"/>
  </w:num>
  <w:num w:numId="19">
    <w:abstractNumId w:val="17"/>
  </w:num>
  <w:num w:numId="20">
    <w:abstractNumId w:val="13"/>
  </w:num>
  <w:num w:numId="21">
    <w:abstractNumId w:val="5"/>
  </w:num>
  <w:num w:numId="22">
    <w:abstractNumId w:val="19"/>
  </w:num>
  <w:num w:numId="23">
    <w:abstractNumId w:val="21"/>
  </w:num>
  <w:num w:numId="24">
    <w:abstractNumId w:val="47"/>
  </w:num>
  <w:num w:numId="25">
    <w:abstractNumId w:val="18"/>
  </w:num>
  <w:num w:numId="26">
    <w:abstractNumId w:val="27"/>
  </w:num>
  <w:num w:numId="27">
    <w:abstractNumId w:val="43"/>
  </w:num>
  <w:num w:numId="28">
    <w:abstractNumId w:val="8"/>
  </w:num>
  <w:num w:numId="29">
    <w:abstractNumId w:val="40"/>
  </w:num>
  <w:num w:numId="30">
    <w:abstractNumId w:val="44"/>
  </w:num>
  <w:num w:numId="31">
    <w:abstractNumId w:val="9"/>
  </w:num>
  <w:num w:numId="32">
    <w:abstractNumId w:val="26"/>
  </w:num>
  <w:num w:numId="33">
    <w:abstractNumId w:val="22"/>
  </w:num>
  <w:num w:numId="34">
    <w:abstractNumId w:val="7"/>
  </w:num>
  <w:num w:numId="35">
    <w:abstractNumId w:val="14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3"/>
  </w:num>
  <w:num w:numId="39">
    <w:abstractNumId w:val="36"/>
  </w:num>
  <w:num w:numId="40">
    <w:abstractNumId w:val="42"/>
  </w:num>
  <w:num w:numId="41">
    <w:abstractNumId w:val="11"/>
  </w:num>
  <w:num w:numId="42">
    <w:abstractNumId w:val="25"/>
  </w:num>
  <w:num w:numId="43">
    <w:abstractNumId w:val="41"/>
  </w:num>
  <w:num w:numId="44">
    <w:abstractNumId w:val="29"/>
  </w:num>
  <w:num w:numId="45">
    <w:abstractNumId w:val="48"/>
  </w:num>
  <w:num w:numId="46">
    <w:abstractNumId w:val="28"/>
  </w:num>
  <w:num w:numId="47">
    <w:abstractNumId w:val="31"/>
  </w:num>
  <w:num w:numId="48">
    <w:abstractNumId w:val="39"/>
  </w:num>
  <w:num w:numId="49">
    <w:abstractNumId w:val="16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373"/>
    <w:rsid w:val="0001083A"/>
    <w:rsid w:val="00017BEB"/>
    <w:rsid w:val="00023A2C"/>
    <w:rsid w:val="00037A44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02DF"/>
    <w:rsid w:val="000A3B4B"/>
    <w:rsid w:val="000B0AA3"/>
    <w:rsid w:val="000B487D"/>
    <w:rsid w:val="000C7340"/>
    <w:rsid w:val="000C7753"/>
    <w:rsid w:val="000D0D2C"/>
    <w:rsid w:val="000E35ED"/>
    <w:rsid w:val="000E7C83"/>
    <w:rsid w:val="000F2423"/>
    <w:rsid w:val="001100EE"/>
    <w:rsid w:val="0011649D"/>
    <w:rsid w:val="00124F3C"/>
    <w:rsid w:val="00127CD5"/>
    <w:rsid w:val="00137D21"/>
    <w:rsid w:val="001447F4"/>
    <w:rsid w:val="001614B8"/>
    <w:rsid w:val="0016461B"/>
    <w:rsid w:val="00176373"/>
    <w:rsid w:val="001A198B"/>
    <w:rsid w:val="001A2DE3"/>
    <w:rsid w:val="001B1ED9"/>
    <w:rsid w:val="001C2BC1"/>
    <w:rsid w:val="001D407D"/>
    <w:rsid w:val="001D4759"/>
    <w:rsid w:val="00206F34"/>
    <w:rsid w:val="00212208"/>
    <w:rsid w:val="00232BF6"/>
    <w:rsid w:val="002445D2"/>
    <w:rsid w:val="00264E05"/>
    <w:rsid w:val="00267580"/>
    <w:rsid w:val="00273D0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301980"/>
    <w:rsid w:val="00307DF5"/>
    <w:rsid w:val="00307EA4"/>
    <w:rsid w:val="00310946"/>
    <w:rsid w:val="003240AC"/>
    <w:rsid w:val="00351EBC"/>
    <w:rsid w:val="00355AA7"/>
    <w:rsid w:val="0036423E"/>
    <w:rsid w:val="00365E36"/>
    <w:rsid w:val="00381BA9"/>
    <w:rsid w:val="003924B9"/>
    <w:rsid w:val="003A121E"/>
    <w:rsid w:val="003E7D9A"/>
    <w:rsid w:val="003F1B41"/>
    <w:rsid w:val="003F3197"/>
    <w:rsid w:val="003F6F6C"/>
    <w:rsid w:val="00405664"/>
    <w:rsid w:val="004378A1"/>
    <w:rsid w:val="00463C96"/>
    <w:rsid w:val="00467E10"/>
    <w:rsid w:val="004834B6"/>
    <w:rsid w:val="004912DD"/>
    <w:rsid w:val="00495754"/>
    <w:rsid w:val="004A49A8"/>
    <w:rsid w:val="004B2AFB"/>
    <w:rsid w:val="004B341A"/>
    <w:rsid w:val="004B3AC3"/>
    <w:rsid w:val="004B59B6"/>
    <w:rsid w:val="004D7F46"/>
    <w:rsid w:val="004E7E2E"/>
    <w:rsid w:val="00511AB6"/>
    <w:rsid w:val="00525897"/>
    <w:rsid w:val="00525F9A"/>
    <w:rsid w:val="00531C32"/>
    <w:rsid w:val="005560B1"/>
    <w:rsid w:val="00572100"/>
    <w:rsid w:val="00583C9A"/>
    <w:rsid w:val="005905C9"/>
    <w:rsid w:val="00591B56"/>
    <w:rsid w:val="005A3757"/>
    <w:rsid w:val="005A4342"/>
    <w:rsid w:val="005C2EB8"/>
    <w:rsid w:val="005E68F7"/>
    <w:rsid w:val="00633028"/>
    <w:rsid w:val="00636708"/>
    <w:rsid w:val="00645225"/>
    <w:rsid w:val="00645DBD"/>
    <w:rsid w:val="006A192F"/>
    <w:rsid w:val="006A224E"/>
    <w:rsid w:val="006A7A7B"/>
    <w:rsid w:val="006B444D"/>
    <w:rsid w:val="006B6E2E"/>
    <w:rsid w:val="006C332C"/>
    <w:rsid w:val="006D19AC"/>
    <w:rsid w:val="006E0062"/>
    <w:rsid w:val="006E1FBC"/>
    <w:rsid w:val="00734810"/>
    <w:rsid w:val="0075340B"/>
    <w:rsid w:val="00762C1B"/>
    <w:rsid w:val="0078218B"/>
    <w:rsid w:val="00796871"/>
    <w:rsid w:val="007A7695"/>
    <w:rsid w:val="007C6D6A"/>
    <w:rsid w:val="007D3DE3"/>
    <w:rsid w:val="007E40B4"/>
    <w:rsid w:val="007F188F"/>
    <w:rsid w:val="008079A9"/>
    <w:rsid w:val="00816FE9"/>
    <w:rsid w:val="008201FD"/>
    <w:rsid w:val="00842901"/>
    <w:rsid w:val="0084408B"/>
    <w:rsid w:val="0088082E"/>
    <w:rsid w:val="008B668E"/>
    <w:rsid w:val="008C3949"/>
    <w:rsid w:val="008C63EE"/>
    <w:rsid w:val="009703D6"/>
    <w:rsid w:val="00972BD8"/>
    <w:rsid w:val="009742A1"/>
    <w:rsid w:val="00977DB1"/>
    <w:rsid w:val="00983606"/>
    <w:rsid w:val="009914F3"/>
    <w:rsid w:val="009B5AC3"/>
    <w:rsid w:val="009D500A"/>
    <w:rsid w:val="00A0403B"/>
    <w:rsid w:val="00A07954"/>
    <w:rsid w:val="00A216BA"/>
    <w:rsid w:val="00A26E1F"/>
    <w:rsid w:val="00A57771"/>
    <w:rsid w:val="00A72660"/>
    <w:rsid w:val="00A92A24"/>
    <w:rsid w:val="00AC1ADE"/>
    <w:rsid w:val="00AC4CB8"/>
    <w:rsid w:val="00AC4F49"/>
    <w:rsid w:val="00AC75A0"/>
    <w:rsid w:val="00AD2956"/>
    <w:rsid w:val="00AE6FF2"/>
    <w:rsid w:val="00AE7A27"/>
    <w:rsid w:val="00AF0A19"/>
    <w:rsid w:val="00AF3F7C"/>
    <w:rsid w:val="00B175A9"/>
    <w:rsid w:val="00B202EF"/>
    <w:rsid w:val="00B20F35"/>
    <w:rsid w:val="00B502A7"/>
    <w:rsid w:val="00B77C31"/>
    <w:rsid w:val="00BB27F5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4529"/>
    <w:rsid w:val="00C279F7"/>
    <w:rsid w:val="00C35C70"/>
    <w:rsid w:val="00C37EFE"/>
    <w:rsid w:val="00C56680"/>
    <w:rsid w:val="00C7251A"/>
    <w:rsid w:val="00C854D5"/>
    <w:rsid w:val="00C92D12"/>
    <w:rsid w:val="00C95803"/>
    <w:rsid w:val="00CA1212"/>
    <w:rsid w:val="00CA2691"/>
    <w:rsid w:val="00CC6B0C"/>
    <w:rsid w:val="00CD7649"/>
    <w:rsid w:val="00CF3B19"/>
    <w:rsid w:val="00D0206B"/>
    <w:rsid w:val="00D12FDF"/>
    <w:rsid w:val="00D21CB2"/>
    <w:rsid w:val="00D268CC"/>
    <w:rsid w:val="00D35B56"/>
    <w:rsid w:val="00D4104E"/>
    <w:rsid w:val="00D4426E"/>
    <w:rsid w:val="00D4555C"/>
    <w:rsid w:val="00D4626F"/>
    <w:rsid w:val="00D462D3"/>
    <w:rsid w:val="00D570C5"/>
    <w:rsid w:val="00D57626"/>
    <w:rsid w:val="00D70920"/>
    <w:rsid w:val="00D761B5"/>
    <w:rsid w:val="00D84A85"/>
    <w:rsid w:val="00D953D1"/>
    <w:rsid w:val="00DC2B24"/>
    <w:rsid w:val="00DC6046"/>
    <w:rsid w:val="00DC79CA"/>
    <w:rsid w:val="00DD0252"/>
    <w:rsid w:val="00DD05C9"/>
    <w:rsid w:val="00DE3BE8"/>
    <w:rsid w:val="00DF4B1B"/>
    <w:rsid w:val="00E12C38"/>
    <w:rsid w:val="00E213CE"/>
    <w:rsid w:val="00E2141B"/>
    <w:rsid w:val="00E23BF9"/>
    <w:rsid w:val="00E27AE7"/>
    <w:rsid w:val="00E558E6"/>
    <w:rsid w:val="00E62477"/>
    <w:rsid w:val="00E85F94"/>
    <w:rsid w:val="00EB476C"/>
    <w:rsid w:val="00EB4E62"/>
    <w:rsid w:val="00EC1EF6"/>
    <w:rsid w:val="00ED7408"/>
    <w:rsid w:val="00F01AFE"/>
    <w:rsid w:val="00F53BDD"/>
    <w:rsid w:val="00F54282"/>
    <w:rsid w:val="00F86BCD"/>
    <w:rsid w:val="00F9612A"/>
    <w:rsid w:val="00FB100C"/>
    <w:rsid w:val="00FC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Akapit z listą1"/>
    <w:basedOn w:val="Normalny"/>
    <w:link w:val="AkapitzlistZnak"/>
    <w:uiPriority w:val="99"/>
    <w:qFormat/>
    <w:rsid w:val="00176373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,o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99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paragraph" w:customStyle="1" w:styleId="Akapitzlist2">
    <w:name w:val="Akapit z listą2"/>
    <w:basedOn w:val="Normalny"/>
    <w:rsid w:val="00DD0252"/>
    <w:pPr>
      <w:spacing w:after="200" w:line="276" w:lineRule="auto"/>
      <w:ind w:left="720"/>
    </w:pPr>
    <w:rPr>
      <w:rFonts w:eastAsia="Times New Roman" w:cs="Calibri"/>
    </w:rPr>
  </w:style>
  <w:style w:type="character" w:styleId="Pogrubienie">
    <w:name w:val="Strong"/>
    <w:aliases w:val="Normalny + 13 pt,Nagłówek 2 + Pogrubienie,Nagłówek 2 + TimesNewRoman,Bold"/>
    <w:qFormat/>
    <w:rsid w:val="00DD025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83A27-C98A-4425-B807-91E92C5D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2499</Words>
  <Characters>14994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17459</CharactersWithSpaces>
  <SharedDoc>false</SharedDoc>
  <HLinks>
    <vt:vector size="6" baseType="variant">
      <vt:variant>
        <vt:i4>7929941</vt:i4>
      </vt:variant>
      <vt:variant>
        <vt:i4>0</vt:i4>
      </vt:variant>
      <vt:variant>
        <vt:i4>0</vt:i4>
      </vt:variant>
      <vt:variant>
        <vt:i4>5</vt:i4>
      </vt:variant>
      <vt:variant>
        <vt:lpwstr>C:\Users\rszablowski\AppData\Local\Microsoft\Windows\Temporary Internet Files\Content.MSO\756432F.xlsx</vt:lpwstr>
      </vt:variant>
      <vt:variant>
        <vt:lpwstr>uzasadnienie!C97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5</cp:revision>
  <cp:lastPrinted>2016-01-26T14:10:00Z</cp:lastPrinted>
  <dcterms:created xsi:type="dcterms:W3CDTF">2016-02-22T08:04:00Z</dcterms:created>
  <dcterms:modified xsi:type="dcterms:W3CDTF">2016-02-22T10:09:00Z</dcterms:modified>
</cp:coreProperties>
</file>