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Pr="00A86AA2" w:rsidRDefault="001954F3" w:rsidP="001954F3">
      <w:pPr>
        <w:pStyle w:val="Nagwek1"/>
        <w:spacing w:before="360" w:after="360"/>
        <w:ind w:left="284"/>
        <w:rPr>
          <w:rFonts w:cs="Arial"/>
          <w:b/>
          <w:sz w:val="28"/>
          <w:szCs w:val="28"/>
        </w:rPr>
      </w:pPr>
      <w:r w:rsidRPr="00A86AA2">
        <w:rPr>
          <w:rFonts w:cs="Arial"/>
          <w:b/>
          <w:sz w:val="28"/>
          <w:szCs w:val="28"/>
        </w:rPr>
        <w:t xml:space="preserve">Kryteria wyboru projektów </w:t>
      </w:r>
    </w:p>
    <w:p w:rsidR="001954F3" w:rsidRPr="00A86AA2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993" w:hanging="567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b/>
          <w:sz w:val="28"/>
          <w:szCs w:val="28"/>
        </w:rPr>
        <w:t>kryteria formalne</w:t>
      </w:r>
      <w:r w:rsidRPr="00A86AA2">
        <w:rPr>
          <w:rFonts w:ascii="Calibri" w:hAnsi="Calibri" w:cs="Arial"/>
          <w:sz w:val="28"/>
          <w:szCs w:val="28"/>
        </w:rPr>
        <w:t xml:space="preserve"> – 0/1 – wspólne dla wszystkich działań;</w:t>
      </w:r>
    </w:p>
    <w:p w:rsidR="001954F3" w:rsidRPr="00A86AA2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sz w:val="28"/>
          <w:szCs w:val="28"/>
        </w:rPr>
        <w:t>kryteria dotyczące pomocy publicznej – 0/1;</w:t>
      </w:r>
    </w:p>
    <w:p w:rsidR="001954F3" w:rsidRPr="00A86AA2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sz w:val="28"/>
          <w:szCs w:val="28"/>
        </w:rPr>
        <w:t>kryteria dotyczące dokumentów środowiskowych – 0/1;</w:t>
      </w:r>
    </w:p>
    <w:p w:rsidR="001954F3" w:rsidRPr="00A86AA2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b/>
          <w:sz w:val="28"/>
          <w:szCs w:val="28"/>
        </w:rPr>
        <w:t xml:space="preserve">kryteria </w:t>
      </w:r>
      <w:r w:rsidR="00A765F7" w:rsidRPr="00A86AA2">
        <w:rPr>
          <w:rFonts w:ascii="Calibri" w:hAnsi="Calibri" w:cs="Arial"/>
          <w:b/>
          <w:sz w:val="28"/>
          <w:szCs w:val="28"/>
        </w:rPr>
        <w:t>dostępu</w:t>
      </w:r>
      <w:r w:rsidRPr="00A86AA2">
        <w:rPr>
          <w:rFonts w:ascii="Calibri" w:hAnsi="Calibri" w:cs="Arial"/>
          <w:sz w:val="28"/>
          <w:szCs w:val="28"/>
        </w:rPr>
        <w:t>– 0/1 – dla danego typu operacji;</w:t>
      </w:r>
    </w:p>
    <w:p w:rsidR="001954F3" w:rsidRPr="00A86AA2" w:rsidRDefault="001954F3" w:rsidP="001954F3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sz w:val="28"/>
          <w:szCs w:val="28"/>
        </w:rPr>
        <w:t>Regulamin konkursu wskazuje, które kryteria oceniane są w ramach oceny formalnej, a które w ramach oceny merytorycznej;</w:t>
      </w:r>
    </w:p>
    <w:p w:rsidR="001954F3" w:rsidRPr="00A86AA2" w:rsidRDefault="001954F3" w:rsidP="000A2C42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b/>
          <w:sz w:val="28"/>
          <w:szCs w:val="28"/>
        </w:rPr>
        <w:t xml:space="preserve">kryteria merytoryczne ogólne - </w:t>
      </w:r>
      <w:r w:rsidRPr="00A86AA2">
        <w:rPr>
          <w:rFonts w:ascii="Calibri" w:hAnsi="Calibri" w:cs="Arial"/>
          <w:sz w:val="28"/>
          <w:szCs w:val="28"/>
        </w:rPr>
        <w:t>0/1 – wspólne dla wszystkich działań</w:t>
      </w:r>
      <w:r w:rsidR="00A617E3">
        <w:rPr>
          <w:rFonts w:ascii="Calibri" w:hAnsi="Calibri" w:cs="Arial"/>
          <w:sz w:val="28"/>
          <w:szCs w:val="28"/>
        </w:rPr>
        <w:t xml:space="preserve"> </w:t>
      </w:r>
      <w:r w:rsidR="00A617E3">
        <w:rPr>
          <w:rFonts w:asciiTheme="minorHAnsi" w:hAnsiTheme="minorHAnsi" w:cs="Arial"/>
          <w:sz w:val="20"/>
          <w:szCs w:val="20"/>
        </w:rPr>
        <w:t xml:space="preserve">- </w:t>
      </w:r>
      <w:r w:rsidR="00A617E3" w:rsidRPr="00A617E3">
        <w:rPr>
          <w:rFonts w:asciiTheme="minorHAnsi" w:hAnsiTheme="minorHAnsi" w:cs="Arial"/>
          <w:sz w:val="28"/>
          <w:szCs w:val="28"/>
        </w:rPr>
        <w:t xml:space="preserve">nie dotyczy konkursu nr </w:t>
      </w:r>
      <w:r w:rsidR="00A617E3" w:rsidRPr="00A617E3">
        <w:rPr>
          <w:rFonts w:asciiTheme="minorHAnsi" w:hAnsiTheme="minorHAnsi" w:cs="Arial"/>
          <w:bCs/>
          <w:color w:val="000000" w:themeColor="text1"/>
          <w:sz w:val="28"/>
          <w:szCs w:val="28"/>
        </w:rPr>
        <w:t>RPMA.05.01.00-IP.01-14-050/17;</w:t>
      </w:r>
    </w:p>
    <w:p w:rsidR="001954F3" w:rsidRPr="00A86AA2" w:rsidRDefault="000A2C42" w:rsidP="00A86AA2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Calibri" w:hAnsi="Calibri" w:cs="Arial"/>
          <w:sz w:val="28"/>
          <w:szCs w:val="28"/>
        </w:rPr>
      </w:pPr>
      <w:r w:rsidRPr="00A86AA2">
        <w:rPr>
          <w:rFonts w:ascii="Calibri" w:hAnsi="Calibri" w:cs="Arial"/>
          <w:b/>
          <w:sz w:val="28"/>
          <w:szCs w:val="28"/>
        </w:rPr>
        <w:t>kryteria merytoryczne szczegółowe</w:t>
      </w:r>
      <w:r w:rsidRPr="00A86AA2">
        <w:rPr>
          <w:rFonts w:ascii="Calibri" w:hAnsi="Calibri" w:cs="Arial"/>
          <w:sz w:val="28"/>
          <w:szCs w:val="28"/>
        </w:rPr>
        <w:t xml:space="preserve"> – punktowe dla projektów konkursowych</w:t>
      </w:r>
      <w:r w:rsidR="00A86AA2" w:rsidRPr="00A86AA2">
        <w:rPr>
          <w:rFonts w:ascii="Calibri" w:hAnsi="Calibri" w:cs="Arial"/>
          <w:sz w:val="28"/>
          <w:szCs w:val="28"/>
        </w:rPr>
        <w:t>.</w:t>
      </w:r>
    </w:p>
    <w:p w:rsidR="001954F3" w:rsidRPr="00A86AA2" w:rsidRDefault="001954F3" w:rsidP="004834B6">
      <w:pPr>
        <w:spacing w:line="240" w:lineRule="auto"/>
        <w:rPr>
          <w:rFonts w:cs="Arial"/>
          <w:b/>
          <w:sz w:val="28"/>
          <w:szCs w:val="28"/>
          <w:u w:val="single"/>
        </w:rPr>
      </w:pPr>
    </w:p>
    <w:p w:rsidR="001954F3" w:rsidRPr="00A86AA2" w:rsidRDefault="001954F3" w:rsidP="004834B6">
      <w:pPr>
        <w:spacing w:line="240" w:lineRule="auto"/>
        <w:rPr>
          <w:rFonts w:cs="Arial"/>
          <w:b/>
          <w:sz w:val="28"/>
          <w:szCs w:val="28"/>
          <w:u w:val="single"/>
        </w:rPr>
      </w:pPr>
    </w:p>
    <w:p w:rsidR="00996FA3" w:rsidRDefault="00996FA3" w:rsidP="00E67F40">
      <w:pPr>
        <w:rPr>
          <w:lang w:eastAsia="pl-PL"/>
        </w:rPr>
      </w:pPr>
    </w:p>
    <w:p w:rsidR="000D58E7" w:rsidRPr="000D58E7" w:rsidRDefault="000D58E7" w:rsidP="00A707B9">
      <w:pPr>
        <w:pStyle w:val="Nagwek2"/>
        <w:rPr>
          <w:rFonts w:asciiTheme="minorHAnsi" w:hAnsiTheme="minorHAnsi" w:cs="Arial"/>
          <w:i w:val="0"/>
          <w:sz w:val="20"/>
          <w:szCs w:val="20"/>
          <w:lang w:eastAsia="pl-PL"/>
        </w:rPr>
      </w:pPr>
      <w:bookmarkStart w:id="0" w:name="_Toc457226059"/>
      <w:bookmarkStart w:id="1" w:name="_Toc457376809"/>
      <w:bookmarkStart w:id="2" w:name="_Toc457381385"/>
      <w:bookmarkStart w:id="3" w:name="_Toc457987658"/>
    </w:p>
    <w:p w:rsidR="000D58E7" w:rsidRPr="000D58E7" w:rsidRDefault="000D58E7" w:rsidP="000D58E7">
      <w:pPr>
        <w:pStyle w:val="Nagwek2"/>
        <w:rPr>
          <w:rFonts w:asciiTheme="minorHAnsi" w:hAnsiTheme="minorHAnsi"/>
          <w:i w:val="0"/>
          <w:lang w:eastAsia="pl-PL"/>
        </w:rPr>
      </w:pPr>
      <w:bookmarkStart w:id="4" w:name="_Toc462147021"/>
      <w:bookmarkStart w:id="5" w:name="_Toc474916520"/>
      <w:r w:rsidRPr="000D58E7">
        <w:rPr>
          <w:rFonts w:asciiTheme="minorHAnsi" w:hAnsiTheme="minorHAnsi"/>
          <w:i w:val="0"/>
          <w:lang w:eastAsia="pl-PL"/>
        </w:rPr>
        <w:t xml:space="preserve">1. Kryteria </w:t>
      </w:r>
      <w:r w:rsidRPr="000D58E7">
        <w:rPr>
          <w:rFonts w:asciiTheme="minorHAnsi" w:hAnsiTheme="minorHAnsi"/>
          <w:i w:val="0"/>
        </w:rPr>
        <w:t>formalne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3387"/>
        <w:gridCol w:w="7900"/>
        <w:gridCol w:w="1035"/>
        <w:gridCol w:w="1428"/>
      </w:tblGrid>
      <w:tr w:rsidR="000D58E7" w:rsidRPr="000D58E7" w:rsidTr="00BE2971">
        <w:trPr>
          <w:tblHeader/>
        </w:trPr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Możliwość uzupełnienia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="Arial"/>
                <w:color w:val="000000"/>
                <w:sz w:val="20"/>
                <w:szCs w:val="20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W ramach kryterium weryfikowane będzie, czy łącznie zostały spełnione następujące elementy: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 w:line="312" w:lineRule="auto"/>
              <w:ind w:left="520" w:hanging="425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spacing w:before="80" w:after="80" w:line="312" w:lineRule="auto"/>
              <w:ind w:left="520" w:hanging="425"/>
              <w:contextualSpacing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wszystkie wymagane pola wniosku o dofinansowanie zostały wypełnione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spacing w:before="80" w:after="80" w:line="312" w:lineRule="auto"/>
              <w:ind w:left="520" w:hanging="425"/>
              <w:contextualSpacing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pola opisowe wypełniono treścią dającą się interpretować znaczeniowo, zapisaną w języku polskim;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 w:line="312" w:lineRule="auto"/>
              <w:ind w:left="520" w:hanging="425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wnioskodawca złożył wszystkie wymagane oświadczenia znajdujące się we wniosku o dofinansowanie;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after="80" w:line="312" w:lineRule="auto"/>
              <w:ind w:left="520" w:hanging="425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spacing w:before="80" w:after="80" w:line="312" w:lineRule="auto"/>
              <w:ind w:left="520" w:hanging="425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załączniki do wniosku o dofinansowanie są aktualne i sporządzone na właściwych formularzach/we właściwej formie;</w:t>
            </w:r>
          </w:p>
          <w:p w:rsidR="000D58E7" w:rsidRPr="000D58E7" w:rsidRDefault="000D58E7" w:rsidP="000D58E7">
            <w:pPr>
              <w:numPr>
                <w:ilvl w:val="0"/>
                <w:numId w:val="1"/>
              </w:numPr>
              <w:spacing w:before="80" w:after="80" w:line="312" w:lineRule="auto"/>
              <w:ind w:left="520" w:hanging="425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wnioskodawcy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ind w:left="238" w:hanging="238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ocenie podlega:</w:t>
            </w:r>
          </w:p>
          <w:p w:rsidR="000D58E7" w:rsidRPr="000D58E7" w:rsidRDefault="000D58E7" w:rsidP="000D58E7">
            <w:pPr>
              <w:numPr>
                <w:ilvl w:val="0"/>
                <w:numId w:val="8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czy kategoria wnioskodawcy jest zgodna listą podmiotów uprawnionych do ubiegania się o dofinansowanie wskazaną w Regulaminie konkursu lub Wykazem Projektów Pozakonkursowych EFRR RPO WM 2014-2020 (w przypadku projektów pozakonkursowych);</w:t>
            </w:r>
          </w:p>
          <w:p w:rsidR="000D58E7" w:rsidRPr="000D58E7" w:rsidRDefault="000D58E7" w:rsidP="000D58E7">
            <w:pPr>
              <w:numPr>
                <w:ilvl w:val="0"/>
                <w:numId w:val="8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projektu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ocenie podlega czy:</w:t>
            </w:r>
          </w:p>
          <w:p w:rsidR="000D58E7" w:rsidRPr="000D58E7" w:rsidRDefault="000D58E7" w:rsidP="000D58E7">
            <w:pPr>
              <w:numPr>
                <w:ilvl w:val="0"/>
                <w:numId w:val="6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:rsidR="000D58E7" w:rsidRPr="000D58E7" w:rsidRDefault="000D58E7" w:rsidP="000D58E7">
            <w:pPr>
              <w:numPr>
                <w:ilvl w:val="0"/>
                <w:numId w:val="6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projekt jest zgodny z celami działania/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poddziałania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>;</w:t>
            </w:r>
          </w:p>
          <w:p w:rsidR="000D58E7" w:rsidRPr="000D58E7" w:rsidRDefault="000D58E7" w:rsidP="000D58E7">
            <w:pPr>
              <w:numPr>
                <w:ilvl w:val="0"/>
                <w:numId w:val="6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typ projektu jest zgodny z typem działania/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poddziałania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; </w:t>
            </w:r>
          </w:p>
          <w:p w:rsidR="000D58E7" w:rsidRPr="000D58E7" w:rsidRDefault="000D58E7" w:rsidP="000D58E7">
            <w:pPr>
              <w:numPr>
                <w:ilvl w:val="0"/>
                <w:numId w:val="6"/>
              </w:numPr>
              <w:spacing w:before="80" w:after="80" w:line="312" w:lineRule="auto"/>
              <w:ind w:left="475" w:hanging="425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projekt jest zgodny z przepisami art. 65 ust. 6 i art. 125 ust. 3 lit. e) i f) Rozporządzenia Parlamentu Europejskiego i Rady (UE) nr 1303/2013 z dnia 17 grudnia 2013 r. tj.: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1"/>
              </w:numPr>
              <w:spacing w:before="80" w:after="80" w:line="312" w:lineRule="auto"/>
              <w:ind w:left="758" w:hanging="283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projekt nie został zakończony w rozumieniu art. 65 ust. 6,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1"/>
              </w:numPr>
              <w:spacing w:before="80" w:after="80" w:line="312" w:lineRule="auto"/>
              <w:ind w:left="758" w:hanging="283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0D58E7">
              <w:rPr>
                <w:rFonts w:asciiTheme="minorHAnsi" w:hAnsiTheme="minorHAnsi" w:cs="Arial"/>
                <w:vertAlign w:val="superscript"/>
              </w:rPr>
              <w:footnoteReference w:id="1"/>
            </w:r>
            <w:r w:rsidRPr="000D58E7">
              <w:rPr>
                <w:rFonts w:asciiTheme="minorHAnsi" w:hAnsiTheme="minorHAnsi" w:cs="Arial"/>
              </w:rPr>
              <w:t xml:space="preserve"> (art. 125 ust. 3 lit. e),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1"/>
              </w:numPr>
              <w:spacing w:before="80" w:after="80" w:line="312" w:lineRule="auto"/>
              <w:ind w:left="758" w:hanging="283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 xml:space="preserve">projekt nie obejmuje przedsięwzięć będących częścią operacji, które zostały objęte lub powinny zostać objęte procedurą odzyskiwania zgodnie z art. 71 (trwałość operacji) w następstwie przeniesienia działalności produkcyjnej poza obszar objęty </w:t>
            </w:r>
            <w:r w:rsidRPr="000D58E7">
              <w:rPr>
                <w:rFonts w:asciiTheme="minorHAnsi" w:hAnsiTheme="minorHAnsi" w:cs="Arial"/>
              </w:rPr>
              <w:lastRenderedPageBreak/>
              <w:t>programem (art. 125 ust. 3 lit. f).</w:t>
            </w:r>
          </w:p>
          <w:p w:rsidR="000D58E7" w:rsidRPr="000D58E7" w:rsidRDefault="000D58E7" w:rsidP="00BE2971">
            <w:pPr>
              <w:ind w:left="333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wydatków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W ramach kryterium weryfikowana jest potencjalna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wydatków 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Zgodność z Regulaminem Konkursu / formularzem projektu pozakonkursowego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7.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Specyficzne kryteria dotyczące danego działania/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poddziałania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ocenie podlega:</w:t>
            </w:r>
          </w:p>
          <w:p w:rsidR="000D58E7" w:rsidRPr="000D58E7" w:rsidRDefault="000D58E7" w:rsidP="000D58E7">
            <w:pPr>
              <w:numPr>
                <w:ilvl w:val="0"/>
                <w:numId w:val="7"/>
              </w:numPr>
              <w:spacing w:before="80" w:after="80" w:line="312" w:lineRule="auto"/>
              <w:ind w:left="362" w:hanging="283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czy kategoria interwencji jest zgodna  z Regulaminem konkursu;</w:t>
            </w:r>
          </w:p>
          <w:p w:rsidR="000D58E7" w:rsidRPr="000D58E7" w:rsidRDefault="000D58E7" w:rsidP="000D58E7">
            <w:pPr>
              <w:numPr>
                <w:ilvl w:val="0"/>
                <w:numId w:val="7"/>
              </w:numPr>
              <w:spacing w:before="80" w:after="80" w:line="312" w:lineRule="auto"/>
              <w:ind w:left="362" w:hanging="283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czy okres realizacji projektu jest zgodny z Regulaminem konkursu;</w:t>
            </w:r>
          </w:p>
          <w:p w:rsidR="000D58E7" w:rsidRPr="000D58E7" w:rsidRDefault="000D58E7" w:rsidP="000D58E7">
            <w:pPr>
              <w:numPr>
                <w:ilvl w:val="0"/>
                <w:numId w:val="7"/>
              </w:numPr>
              <w:spacing w:before="80" w:after="80" w:line="312" w:lineRule="auto"/>
              <w:ind w:left="362" w:hanging="283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czy Wnioskodawca uwzględnił limity dotyczące: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2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maksymalnego poziomu dofinansowania;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2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minimalnego wkładu własnego;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42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minimalnej/maksymalnej wartości projektu</w:t>
            </w:r>
          </w:p>
          <w:p w:rsidR="000D58E7" w:rsidRPr="000D58E7" w:rsidRDefault="000D58E7" w:rsidP="00BE2971">
            <w:pPr>
              <w:ind w:left="362" w:firstLine="16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określone w SZOOP lub Regulaminie konkursu;</w:t>
            </w:r>
          </w:p>
          <w:p w:rsidR="000D58E7" w:rsidRPr="000D58E7" w:rsidRDefault="000D58E7" w:rsidP="000D58E7">
            <w:pPr>
              <w:numPr>
                <w:ilvl w:val="0"/>
                <w:numId w:val="7"/>
              </w:numPr>
              <w:spacing w:before="80" w:after="80" w:line="312" w:lineRule="auto"/>
              <w:ind w:left="362" w:hanging="283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8.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Kryterium uważa się za spełnione jeżeli:</w:t>
            </w:r>
          </w:p>
          <w:p w:rsidR="000D58E7" w:rsidRPr="000D58E7" w:rsidRDefault="000D58E7" w:rsidP="000D58E7">
            <w:pPr>
              <w:numPr>
                <w:ilvl w:val="0"/>
                <w:numId w:val="2"/>
              </w:numPr>
              <w:spacing w:before="80" w:after="80" w:line="312" w:lineRule="auto"/>
              <w:ind w:left="248" w:hanging="248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0D58E7" w:rsidRPr="000D58E7" w:rsidRDefault="000D58E7" w:rsidP="000D58E7">
            <w:pPr>
              <w:numPr>
                <w:ilvl w:val="0"/>
                <w:numId w:val="2"/>
              </w:numPr>
              <w:spacing w:before="80" w:after="80" w:line="312" w:lineRule="auto"/>
              <w:ind w:left="238" w:hanging="238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w konkursach, w których dotacja dla projektu stanowi pomoc publiczną/pomoc de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minimis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, ocena dokonywana w oparciu o kryteria 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Ocena kryterium dokonywana jest w oparciu o kryteria szczegółowe  zawarte </w:t>
            </w:r>
            <w:r w:rsidRPr="000D58E7">
              <w:rPr>
                <w:rFonts w:asciiTheme="minorHAnsi" w:hAnsiTheme="minorHAnsi" w:cs="Arial"/>
                <w:sz w:val="20"/>
                <w:szCs w:val="20"/>
              </w:rPr>
              <w:br/>
              <w:t xml:space="preserve">w tabeli nr 1.2.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Zgodność projektu z zasadą równości szans kobiet i mężczyzn</w:t>
            </w:r>
            <w:r w:rsidRPr="000D58E7" w:rsidDel="009E37B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Kryterium uważa się za spełnione jeśli  wnioskodawca  wykaże pozytywny wpływ projektu na zasadę równości szans kobiet i mężczyzn.</w:t>
            </w:r>
          </w:p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Dopuszcza się, w uzasadnionych przypadkach, neutralny wpływ projektu na zasadę równości szans kobiet i mężczyzn.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Zgodność projektu z zasadą równości szans i niedyskryminacji w tym dostępności dla osób z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Kryterium uważa się za spełnione jeśli wnioskodawca wykaże pozytywny wpływ projektu na zasadę równości szans i niedyskryminacji w tym dostępności dla osób z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Dopuszcza się, w uzasadnionych przypadkach, neutralny wpływ projektu na zasadę równości szans i niedyskryminacji, w tym dostępności dla osób z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niepełnosprawnościami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Kryterium uważa się za spełnione jeśli wnioskodawca wykaże pozytywny wpływ projektu na  zasadę zrównoważonego rozwoju.</w:t>
            </w:r>
          </w:p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  <w:tr w:rsidR="000D58E7" w:rsidRPr="000D58E7" w:rsidTr="00BE2971"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</w:t>
            </w: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dotyczy).</w:t>
            </w:r>
          </w:p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pkt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7 rozporządzenia PE i Rady (UE) nr 1303/2013, której całkowite koszty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kwalifikowalne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przekraczają kwotę 75 mln EUR.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D58E7" w:rsidRPr="000D58E7" w:rsidRDefault="000D58E7" w:rsidP="00BE2971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</w:tr>
    </w:tbl>
    <w:p w:rsidR="000D58E7" w:rsidRPr="000D58E7" w:rsidRDefault="000D58E7" w:rsidP="00A707B9">
      <w:pPr>
        <w:pStyle w:val="Nagwek2"/>
        <w:rPr>
          <w:rFonts w:asciiTheme="minorHAnsi" w:hAnsiTheme="minorHAnsi" w:cs="Arial"/>
          <w:i w:val="0"/>
          <w:sz w:val="20"/>
          <w:szCs w:val="20"/>
          <w:lang w:eastAsia="pl-PL"/>
        </w:rPr>
      </w:pPr>
    </w:p>
    <w:p w:rsidR="000D58E7" w:rsidRPr="000D58E7" w:rsidRDefault="000D58E7" w:rsidP="000D58E7">
      <w:pPr>
        <w:pStyle w:val="Nagwek3"/>
        <w:rPr>
          <w:rFonts w:asciiTheme="minorHAnsi" w:hAnsiTheme="minorHAnsi"/>
          <w:sz w:val="28"/>
          <w:szCs w:val="28"/>
        </w:rPr>
      </w:pPr>
      <w:bookmarkStart w:id="6" w:name="_Toc457226061"/>
      <w:bookmarkStart w:id="7" w:name="_Toc457376811"/>
      <w:bookmarkStart w:id="8" w:name="_Toc457381387"/>
      <w:bookmarkStart w:id="9" w:name="_Toc457987660"/>
      <w:bookmarkStart w:id="10" w:name="_Toc462147023"/>
      <w:bookmarkStart w:id="11" w:name="_Toc474916522"/>
      <w:r w:rsidRPr="000D58E7">
        <w:rPr>
          <w:rFonts w:asciiTheme="minorHAnsi" w:hAnsiTheme="minorHAnsi"/>
          <w:sz w:val="28"/>
          <w:szCs w:val="28"/>
        </w:rPr>
        <w:t>1.1 Kryteria dotyczące pomocy publicznej</w:t>
      </w:r>
      <w:bookmarkEnd w:id="6"/>
      <w:bookmarkEnd w:id="7"/>
      <w:bookmarkEnd w:id="8"/>
      <w:bookmarkEnd w:id="9"/>
      <w:bookmarkEnd w:id="10"/>
      <w:bookmarkEnd w:id="11"/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0"/>
        <w:gridCol w:w="3871"/>
        <w:gridCol w:w="8307"/>
        <w:gridCol w:w="1462"/>
      </w:tblGrid>
      <w:tr w:rsidR="000D58E7" w:rsidRPr="000D58E7" w:rsidTr="00BE2971">
        <w:trPr>
          <w:tblHeader/>
        </w:trPr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L.p.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Kryterium szczegółowe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Punktacja</w:t>
            </w:r>
          </w:p>
        </w:tc>
      </w:tr>
      <w:tr w:rsidR="000D58E7" w:rsidRPr="000D58E7" w:rsidTr="00BE2971"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Wnioskodawcy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minimis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Cel i przedmiot projektu zgodny z przeznaczeniem pomocy/kategorią pomocy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Potencjalna </w:t>
            </w:r>
            <w:proofErr w:type="spellStart"/>
            <w:r w:rsidRPr="000D58E7">
              <w:rPr>
                <w:rFonts w:asciiTheme="minorHAnsi" w:hAnsiTheme="minorHAnsi" w:cs="Arial"/>
                <w:sz w:val="20"/>
                <w:szCs w:val="20"/>
              </w:rPr>
              <w:t>kwalifikowalność</w:t>
            </w:r>
            <w:proofErr w:type="spellEnd"/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 wydatków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iCs/>
                <w:sz w:val="20"/>
                <w:szCs w:val="20"/>
              </w:rPr>
              <w:t>W ramach kryterium ocenie podlegać będzie czy wydatki ujęte jako kwalifikowane w projekcie spełniają warunki </w:t>
            </w:r>
            <w:proofErr w:type="spellStart"/>
            <w:r w:rsidRPr="000D58E7">
              <w:rPr>
                <w:rFonts w:asciiTheme="minorHAnsi" w:hAnsiTheme="minorHAnsi" w:cs="Arial"/>
                <w:iCs/>
                <w:sz w:val="20"/>
                <w:szCs w:val="20"/>
              </w:rPr>
              <w:t>kwalifikowalności</w:t>
            </w:r>
            <w:proofErr w:type="spellEnd"/>
            <w:r w:rsidRPr="000D58E7">
              <w:rPr>
                <w:rFonts w:asciiTheme="minorHAnsi" w:hAnsiTheme="minorHAnsi" w:cs="Arial"/>
                <w:iCs/>
                <w:sz w:val="20"/>
                <w:szCs w:val="20"/>
              </w:rPr>
              <w:t xml:space="preserve">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 xml:space="preserve">Intensywność i maksymalna wartość pomocy </w:t>
            </w: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oraz procentowy poziom dofinansowania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W ramach kryterium weryfikowane będzie w szczególności: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9"/>
              </w:numPr>
              <w:spacing w:before="80" w:after="80" w:line="312" w:lineRule="auto"/>
              <w:ind w:left="360" w:hanging="284"/>
              <w:contextualSpacing w:val="0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lastRenderedPageBreak/>
              <w:t>weryfikacja dopuszczalnej intensywności pomocy oraz zasad kumulacji pomocy;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9"/>
              </w:numPr>
              <w:spacing w:before="80" w:after="80" w:line="312" w:lineRule="auto"/>
              <w:ind w:left="360" w:hanging="284"/>
              <w:contextualSpacing w:val="0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 xml:space="preserve">weryfikacja dopuszczalnego pułapu wsparcia oraz zasad kumulacji w ramach pomocy de </w:t>
            </w:r>
            <w:proofErr w:type="spellStart"/>
            <w:r w:rsidRPr="000D58E7">
              <w:rPr>
                <w:rFonts w:asciiTheme="minorHAnsi" w:hAnsiTheme="minorHAnsi" w:cs="Arial"/>
              </w:rPr>
              <w:t>minimis</w:t>
            </w:r>
            <w:proofErr w:type="spellEnd"/>
            <w:r w:rsidRPr="000D58E7">
              <w:rPr>
                <w:rFonts w:asciiTheme="minorHAnsi" w:hAnsiTheme="minorHAnsi" w:cs="Arial"/>
              </w:rPr>
              <w:t>;</w:t>
            </w:r>
          </w:p>
          <w:p w:rsidR="000D58E7" w:rsidRPr="000D58E7" w:rsidRDefault="000D58E7" w:rsidP="000D58E7">
            <w:pPr>
              <w:pStyle w:val="Akapitzlist"/>
              <w:numPr>
                <w:ilvl w:val="0"/>
                <w:numId w:val="9"/>
              </w:numPr>
              <w:spacing w:before="80" w:after="80" w:line="312" w:lineRule="auto"/>
              <w:ind w:left="360" w:hanging="284"/>
              <w:contextualSpacing w:val="0"/>
              <w:rPr>
                <w:rFonts w:asciiTheme="minorHAnsi" w:hAnsiTheme="minorHAnsi" w:cs="Arial"/>
              </w:rPr>
            </w:pPr>
            <w:r w:rsidRPr="000D58E7">
              <w:rPr>
                <w:rFonts w:asciiTheme="minorHAnsi" w:hAnsiTheme="minorHAnsi" w:cs="Arial"/>
              </w:rPr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0/1</w:t>
            </w:r>
          </w:p>
        </w:tc>
      </w:tr>
      <w:tr w:rsidR="000D58E7" w:rsidRPr="000D58E7" w:rsidTr="00BE2971">
        <w:tc>
          <w:tcPr>
            <w:tcW w:w="204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Dodatkowe obowiązki warunkujące zgodność wsparcia w świetle postanowień podstaw prawnych udzielania pomocy</w:t>
            </w:r>
          </w:p>
        </w:tc>
        <w:tc>
          <w:tcPr>
            <w:tcW w:w="2921" w:type="pct"/>
            <w:shd w:val="clear" w:color="auto" w:fill="auto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</w:tbl>
    <w:p w:rsidR="000D58E7" w:rsidRPr="000D58E7" w:rsidRDefault="000D58E7" w:rsidP="00A707B9">
      <w:pPr>
        <w:pStyle w:val="Nagwek2"/>
        <w:rPr>
          <w:rFonts w:asciiTheme="minorHAnsi" w:hAnsiTheme="minorHAnsi" w:cs="Arial"/>
          <w:i w:val="0"/>
          <w:sz w:val="20"/>
          <w:szCs w:val="20"/>
          <w:lang w:eastAsia="pl-PL"/>
        </w:rPr>
      </w:pPr>
    </w:p>
    <w:p w:rsidR="000D58E7" w:rsidRPr="000D58E7" w:rsidRDefault="000D58E7" w:rsidP="000D58E7">
      <w:pPr>
        <w:pStyle w:val="Nagwek3"/>
        <w:rPr>
          <w:rFonts w:asciiTheme="minorHAnsi" w:hAnsiTheme="minorHAnsi" w:cs="Arial"/>
          <w:sz w:val="28"/>
          <w:szCs w:val="28"/>
        </w:rPr>
      </w:pPr>
      <w:bookmarkStart w:id="12" w:name="_Toc457226062"/>
      <w:bookmarkStart w:id="13" w:name="_Toc457376812"/>
      <w:bookmarkStart w:id="14" w:name="_Toc457381388"/>
      <w:bookmarkStart w:id="15" w:name="_Toc457987661"/>
      <w:bookmarkStart w:id="16" w:name="_Toc462147024"/>
      <w:bookmarkStart w:id="17" w:name="_Toc474916523"/>
      <w:r w:rsidRPr="000D58E7">
        <w:rPr>
          <w:rFonts w:asciiTheme="minorHAnsi" w:hAnsiTheme="minorHAnsi" w:cs="Arial"/>
          <w:sz w:val="28"/>
          <w:szCs w:val="28"/>
        </w:rPr>
        <w:t>1.2 Kryteria dotyczące dokumentów środowiskowych</w:t>
      </w:r>
      <w:bookmarkEnd w:id="12"/>
      <w:bookmarkEnd w:id="13"/>
      <w:bookmarkEnd w:id="14"/>
      <w:bookmarkEnd w:id="15"/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1294"/>
        <w:gridCol w:w="3308"/>
        <w:gridCol w:w="6726"/>
        <w:gridCol w:w="1317"/>
      </w:tblGrid>
      <w:tr w:rsidR="000D58E7" w:rsidRPr="000D58E7" w:rsidTr="00BE2971">
        <w:trPr>
          <w:tblHeader/>
        </w:trPr>
        <w:tc>
          <w:tcPr>
            <w:tcW w:w="2172" w:type="pct"/>
            <w:gridSpan w:val="3"/>
            <w:vAlign w:val="center"/>
          </w:tcPr>
          <w:p w:rsidR="000D58E7" w:rsidRPr="000D58E7" w:rsidRDefault="000D58E7" w:rsidP="00BE2971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2365" w:type="pct"/>
            <w:vAlign w:val="center"/>
          </w:tcPr>
          <w:p w:rsidR="000D58E7" w:rsidRPr="000D58E7" w:rsidRDefault="000D58E7" w:rsidP="00BE2971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Opis</w:t>
            </w:r>
          </w:p>
        </w:tc>
        <w:tc>
          <w:tcPr>
            <w:tcW w:w="463" w:type="pct"/>
            <w:vAlign w:val="center"/>
          </w:tcPr>
          <w:p w:rsidR="000D58E7" w:rsidRPr="000D58E7" w:rsidRDefault="000D58E7" w:rsidP="00BE2971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b/>
                <w:sz w:val="20"/>
                <w:szCs w:val="20"/>
              </w:rPr>
              <w:t>Ocena</w:t>
            </w:r>
          </w:p>
        </w:tc>
      </w:tr>
      <w:tr w:rsidR="000D58E7" w:rsidRPr="000D58E7" w:rsidTr="00BE2971">
        <w:tc>
          <w:tcPr>
            <w:tcW w:w="554" w:type="pct"/>
            <w:vMerge w:val="restar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Czy projekt  podlega procedurze </w:t>
            </w: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w zakresie</w:t>
            </w: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OOŚ</w:t>
            </w: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Tak/Nie</w:t>
            </w:r>
          </w:p>
        </w:tc>
        <w:tc>
          <w:tcPr>
            <w:tcW w:w="455" w:type="pct"/>
            <w:vMerge w:val="restart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</w:tc>
        <w:tc>
          <w:tcPr>
            <w:tcW w:w="1163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Czy przedłożone zostały wszystkie</w:t>
            </w: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wymagane załączniki w zakresie OOŚ</w:t>
            </w:r>
          </w:p>
        </w:tc>
        <w:tc>
          <w:tcPr>
            <w:tcW w:w="2365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Przedsięwzięcia podlegające procedurze OOŚ wymagają przedłożenia wszystkich wymaganych załączników i dokumentacji dotyczących OOŚ 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rPr>
          <w:trHeight w:val="1223"/>
        </w:trPr>
        <w:tc>
          <w:tcPr>
            <w:tcW w:w="554" w:type="pct"/>
            <w:vMerge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Czy załączniki są wypełnione w sposób poprawny</w:t>
            </w:r>
          </w:p>
        </w:tc>
        <w:tc>
          <w:tcPr>
            <w:tcW w:w="2365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Kompletność wypełnienia poszczególnych punktów w Formularzu do wniosku o dofinansowanie w zakresie OOŚ. Treść Formularza do wniosku o dofinansowanie w zakresie OOŚ oraz Zaświadczenia organu odpowiedzialnego za monitorowanie obszarów Natura 2000 musi być zgodna z informacjami zawartymi we wniosku dokumentacji środowiskowej oraz postanowieniem uzgadniającym decyzji budowlaną lub z tą decyzją.</w:t>
            </w:r>
          </w:p>
        </w:tc>
        <w:tc>
          <w:tcPr>
            <w:tcW w:w="463" w:type="pct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rPr>
          <w:trHeight w:val="1075"/>
        </w:trPr>
        <w:tc>
          <w:tcPr>
            <w:tcW w:w="554" w:type="pct"/>
            <w:vMerge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pct"/>
            <w:vMerge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63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Czy procedura OOŚ została</w:t>
            </w: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przeprowadzona poprawnie</w:t>
            </w:r>
          </w:p>
        </w:tc>
        <w:tc>
          <w:tcPr>
            <w:tcW w:w="2365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Zgodność z Dyrektywami OOŚ, Siedliskową i Ptasią oraz przepisami krajowymi w zakresie OOŚ (decyzja o środowiskowych uwarunkowaniach, postanowienia organów w przedmiocie konieczności sporządzenia raportu OOŚ, streszczenie raportu OOŚ w języku niespecjalistycznym, itp.)</w:t>
            </w:r>
          </w:p>
        </w:tc>
        <w:tc>
          <w:tcPr>
            <w:tcW w:w="463" w:type="pct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tr w:rsidR="000D58E7" w:rsidRPr="000D58E7" w:rsidTr="00BE2971">
        <w:trPr>
          <w:trHeight w:val="1791"/>
        </w:trPr>
        <w:tc>
          <w:tcPr>
            <w:tcW w:w="554" w:type="pct"/>
            <w:vMerge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0D58E7" w:rsidRPr="000D58E7" w:rsidRDefault="000D58E7" w:rsidP="00BE297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  <w:tc>
          <w:tcPr>
            <w:tcW w:w="1163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Wniosek nie podlega dalszej weryfikacji w ramach poprawności procedury OOŚ i jest kierowany do dalszej oceny</w:t>
            </w:r>
          </w:p>
        </w:tc>
        <w:tc>
          <w:tcPr>
            <w:tcW w:w="2365" w:type="pct"/>
            <w:vAlign w:val="center"/>
          </w:tcPr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Przedsięwzięcia nie podlegające procedurze OOŚ wymagają przedłożenia Formularza do wniosku o dofinansowanie w zakresie OOŚ wypełnianego (w sposób prawidłowy) w ograniczonym zakresie.</w:t>
            </w:r>
          </w:p>
          <w:p w:rsidR="000D58E7" w:rsidRPr="000D58E7" w:rsidRDefault="000D58E7" w:rsidP="00BE2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  <w:lang w:eastAsia="pl-PL"/>
              </w:rPr>
              <w:t>Zaświadczenie organu odpowiedzialnego za monitorowanie obszarów Natura 2000 jest wymagane w przypadku realizacji przedsięwzięć infrastrukturalnych.</w:t>
            </w:r>
          </w:p>
        </w:tc>
        <w:tc>
          <w:tcPr>
            <w:tcW w:w="463" w:type="pct"/>
            <w:vAlign w:val="center"/>
          </w:tcPr>
          <w:p w:rsidR="000D58E7" w:rsidRPr="000D58E7" w:rsidRDefault="000D58E7" w:rsidP="00BE297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58E7">
              <w:rPr>
                <w:rFonts w:asciiTheme="minorHAnsi" w:hAnsiTheme="minorHAnsi" w:cs="Arial"/>
                <w:sz w:val="20"/>
                <w:szCs w:val="20"/>
              </w:rPr>
              <w:t>0/1</w:t>
            </w:r>
          </w:p>
        </w:tc>
      </w:tr>
      <w:bookmarkEnd w:id="0"/>
      <w:bookmarkEnd w:id="1"/>
      <w:bookmarkEnd w:id="2"/>
      <w:bookmarkEnd w:id="3"/>
    </w:tbl>
    <w:p w:rsidR="00C238BE" w:rsidRPr="006C7E7B" w:rsidRDefault="00C238BE" w:rsidP="00B77C31">
      <w:pPr>
        <w:pStyle w:val="Default"/>
        <w:spacing w:line="360" w:lineRule="auto"/>
        <w:jc w:val="both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</w:p>
    <w:p w:rsidR="00A617E3" w:rsidRPr="006C7E7B" w:rsidRDefault="000D58E7" w:rsidP="00A617E3">
      <w:pPr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pl-PL"/>
        </w:rPr>
      </w:pPr>
      <w:r w:rsidRPr="006C7E7B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pl-PL"/>
        </w:rPr>
        <w:t>2. Kryteria dostępu</w:t>
      </w:r>
      <w:bookmarkStart w:id="18" w:name="_Toc474916567"/>
    </w:p>
    <w:p w:rsidR="00A617E3" w:rsidRPr="006C7E7B" w:rsidRDefault="00A617E3" w:rsidP="00A617E3">
      <w:pPr>
        <w:pStyle w:val="Nagwek5"/>
        <w:rPr>
          <w:rFonts w:asciiTheme="minorHAnsi" w:hAnsiTheme="minorHAnsi"/>
          <w:sz w:val="20"/>
          <w:szCs w:val="20"/>
        </w:rPr>
      </w:pPr>
      <w:bookmarkStart w:id="19" w:name="_Toc474916573"/>
      <w:r w:rsidRPr="006C7E7B">
        <w:rPr>
          <w:rFonts w:asciiTheme="minorHAnsi" w:hAnsiTheme="minorHAnsi"/>
          <w:sz w:val="20"/>
          <w:szCs w:val="20"/>
        </w:rPr>
        <w:t>Działanie 5.1 - typ projektu: „Systemy wczesnego ostrzegania przed zjawiskami katastrofalnymi.”</w:t>
      </w:r>
      <w:bookmarkEnd w:id="19"/>
    </w:p>
    <w:p w:rsidR="00A617E3" w:rsidRPr="006C7E7B" w:rsidRDefault="00A617E3" w:rsidP="00A617E3">
      <w:pPr>
        <w:pStyle w:val="Bezodstpw"/>
        <w:rPr>
          <w:rFonts w:asciiTheme="minorHAnsi" w:hAnsiTheme="minorHAnsi"/>
          <w:sz w:val="20"/>
        </w:rPr>
      </w:pPr>
      <w:r w:rsidRPr="006C7E7B">
        <w:rPr>
          <w:rFonts w:asciiTheme="minorHAnsi" w:hAnsiTheme="minorHAnsi"/>
          <w:sz w:val="20"/>
        </w:rPr>
        <w:t xml:space="preserve">Kryteria wyboru projektów przyjęte przez </w:t>
      </w:r>
      <w:r w:rsidR="006C7E7B">
        <w:rPr>
          <w:rFonts w:asciiTheme="minorHAnsi" w:hAnsiTheme="minorHAnsi"/>
          <w:sz w:val="20"/>
        </w:rPr>
        <w:t xml:space="preserve">Komitet Monitorujący RPO WM na </w:t>
      </w:r>
      <w:r w:rsidRPr="006C7E7B">
        <w:rPr>
          <w:rFonts w:asciiTheme="minorHAnsi" w:hAnsiTheme="minorHAnsi"/>
          <w:sz w:val="20"/>
        </w:rPr>
        <w:t>XXI posiedzeniu w dniu 10 lutego 2017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3231"/>
        <w:gridCol w:w="9055"/>
        <w:gridCol w:w="1433"/>
      </w:tblGrid>
      <w:tr w:rsidR="00A617E3" w:rsidRPr="006C7E7B" w:rsidTr="00E52AC0">
        <w:trPr>
          <w:tblHeader/>
        </w:trPr>
        <w:tc>
          <w:tcPr>
            <w:tcW w:w="17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13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3184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504" w:type="pct"/>
            <w:vAlign w:val="center"/>
          </w:tcPr>
          <w:p w:rsidR="00A617E3" w:rsidRPr="006C7E7B" w:rsidRDefault="00A617E3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Punktacja</w:t>
            </w:r>
          </w:p>
        </w:tc>
      </w:tr>
      <w:tr w:rsidR="00A617E3" w:rsidRPr="006C7E7B" w:rsidTr="00E52AC0">
        <w:tc>
          <w:tcPr>
            <w:tcW w:w="17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1136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Zasadność zakresu wsparcia  </w:t>
            </w:r>
          </w:p>
        </w:tc>
        <w:tc>
          <w:tcPr>
            <w:tcW w:w="3184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Właściwa liczba elementów planowanych do podłączeń do systemu zintegrowanego. Kryterium ma na celu zweryfikowanie czy wnioskowana liczba elementów systemu nie jest zawyżona.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Pod uwagę muszą być wzięte „Rekomendacje Wojewody Mazowieckiego dla budowy zintegrowanego systemu ostrzegania i alarmowania ludności o zagrożeniach dla Województwa Mazowieckiego w ramach Regionalnego Programu Operacyjnego Województwa Mazowieckiego 2014 – 2020”.</w:t>
            </w:r>
          </w:p>
        </w:tc>
        <w:tc>
          <w:tcPr>
            <w:tcW w:w="504" w:type="pct"/>
            <w:vAlign w:val="center"/>
          </w:tcPr>
          <w:p w:rsidR="00A617E3" w:rsidRPr="006C7E7B" w:rsidRDefault="00A617E3" w:rsidP="00E52AC0">
            <w:pPr>
              <w:pStyle w:val="Akapitzlist"/>
              <w:spacing w:after="0"/>
              <w:ind w:left="445" w:right="-108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0/1</w:t>
            </w:r>
          </w:p>
        </w:tc>
      </w:tr>
      <w:tr w:rsidR="00A617E3" w:rsidRPr="006C7E7B" w:rsidTr="00E52AC0">
        <w:tc>
          <w:tcPr>
            <w:tcW w:w="17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1136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Kompatybilność projektowanego podsystemu z istniejącym systemem sterowania i kontroli Wojewody Mazowieckiego </w:t>
            </w:r>
          </w:p>
        </w:tc>
        <w:tc>
          <w:tcPr>
            <w:tcW w:w="3184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Wnioskodawca oświadcza, że podsystem </w:t>
            </w:r>
            <w:proofErr w:type="spellStart"/>
            <w:r w:rsidRPr="006C7E7B">
              <w:rPr>
                <w:rFonts w:asciiTheme="minorHAnsi" w:hAnsiTheme="minorHAnsi" w:cs="Arial"/>
                <w:sz w:val="20"/>
                <w:szCs w:val="20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/powiatu będzie spełniał wymogi wynikające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 xml:space="preserve">z „Rekomendacji Wojewody Mazowieckiego dla budowy zintegrowanego systemu ostrzegania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i alarmowania ludności o zagrożeniach dla Województwa Mazowieckiego w ramach Regionalnego Programu Operacyjnego Województwa Mazowieckiego 2014 – 2020”.</w:t>
            </w:r>
          </w:p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Wymogi:</w:t>
            </w:r>
          </w:p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Wojewoda Mazowiecki (jako Szef Obrony Cywilnej w województwie mazowieckim odpowiedzialnego za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przygotowanie i zapewnienie działania systemu wykrywania i alarmowania oraz system wczesnego ostrzegania o zagrożeniach zgodnie z paragrafem 3,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 xml:space="preserve">pkt. 6  Rozporządzenia Rady Ministrów z dnia 25 czerwca 2002 r. w sprawie szczegółowego zakresu działania Szefa Obrony Cywilnej Kraju, szefów obrony cywilnej województw powiatów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i gmin) za pomocą posiadanego interfejsu wymiany danych  musi mieć możliwości włączenia, wyłączenia, sprawdzenia sprawności punktu alarmowania  oraz przekazywania komunikatów głosowych każdej gminie/powiatowi. Wojewoda Mazowiecki udostępni specyfikację interfejsu wymiany danych do posiadanej aplikacji każdemu beneficjentowi.</w:t>
            </w:r>
          </w:p>
        </w:tc>
        <w:tc>
          <w:tcPr>
            <w:tcW w:w="504" w:type="pct"/>
            <w:vAlign w:val="center"/>
          </w:tcPr>
          <w:p w:rsidR="00A617E3" w:rsidRPr="006C7E7B" w:rsidRDefault="00A617E3" w:rsidP="00E52AC0">
            <w:pPr>
              <w:pStyle w:val="Akapitzlist"/>
              <w:spacing w:after="0"/>
              <w:ind w:left="445" w:right="-108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lastRenderedPageBreak/>
              <w:t>0/1</w:t>
            </w:r>
          </w:p>
        </w:tc>
      </w:tr>
      <w:tr w:rsidR="00A617E3" w:rsidRPr="006C7E7B" w:rsidTr="00E52AC0">
        <w:tc>
          <w:tcPr>
            <w:tcW w:w="17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6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Zasięg projektu</w:t>
            </w:r>
          </w:p>
        </w:tc>
        <w:tc>
          <w:tcPr>
            <w:tcW w:w="3184" w:type="pct"/>
            <w:vAlign w:val="center"/>
          </w:tcPr>
          <w:p w:rsidR="00A617E3" w:rsidRPr="006C7E7B" w:rsidRDefault="00A617E3" w:rsidP="00E52AC0">
            <w:pPr>
              <w:pStyle w:val="Spistreci1"/>
              <w:tabs>
                <w:tab w:val="left" w:pos="240"/>
                <w:tab w:val="right" w:leader="dot" w:pos="9637"/>
              </w:tabs>
              <w:spacing w:before="0" w:after="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 ramach kryterium ocenie podlega czy zasięg projektu obejmuje min. 2500 mieszkańców lub min. 50% mieszkańców </w:t>
            </w:r>
            <w:proofErr w:type="spellStart"/>
            <w:r w:rsidRPr="006C7E7B">
              <w:rPr>
                <w:rFonts w:asciiTheme="minorHAnsi" w:hAnsiTheme="minorHAnsi" w:cs="Arial"/>
                <w:sz w:val="20"/>
                <w:szCs w:val="20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504" w:type="pct"/>
            <w:vAlign w:val="center"/>
          </w:tcPr>
          <w:p w:rsidR="00A617E3" w:rsidRPr="006C7E7B" w:rsidRDefault="00A617E3" w:rsidP="00E52AC0">
            <w:pPr>
              <w:pStyle w:val="Akapitzlist"/>
              <w:spacing w:after="0"/>
              <w:ind w:left="445" w:right="-108"/>
              <w:rPr>
                <w:rFonts w:asciiTheme="minorHAnsi" w:hAnsiTheme="minorHAnsi" w:cs="Arial"/>
                <w:highlight w:val="yellow"/>
              </w:rPr>
            </w:pPr>
            <w:r w:rsidRPr="006C7E7B">
              <w:rPr>
                <w:rFonts w:asciiTheme="minorHAnsi" w:hAnsiTheme="minorHAnsi" w:cs="Arial"/>
              </w:rPr>
              <w:t>0/1</w:t>
            </w:r>
          </w:p>
        </w:tc>
      </w:tr>
      <w:tr w:rsidR="00A617E3" w:rsidRPr="006C7E7B" w:rsidTr="00E52AC0">
        <w:tc>
          <w:tcPr>
            <w:tcW w:w="176" w:type="pct"/>
            <w:vAlign w:val="center"/>
          </w:tcPr>
          <w:p w:rsidR="00A617E3" w:rsidRPr="006C7E7B" w:rsidRDefault="00A617E3" w:rsidP="00E52AC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136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Edukacja w zakresie wiedzy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o zagrożeniach, sygnałach alarmowych i komunikatach ostrzegawczych</w:t>
            </w:r>
          </w:p>
        </w:tc>
        <w:tc>
          <w:tcPr>
            <w:tcW w:w="3184" w:type="pct"/>
            <w:vAlign w:val="center"/>
          </w:tcPr>
          <w:p w:rsidR="00A617E3" w:rsidRPr="006C7E7B" w:rsidRDefault="00A617E3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Wszystkie </w:t>
            </w:r>
            <w:proofErr w:type="spellStart"/>
            <w:r w:rsidRPr="006C7E7B">
              <w:rPr>
                <w:rFonts w:asciiTheme="minorHAnsi" w:hAnsiTheme="minorHAnsi" w:cs="Arial"/>
                <w:sz w:val="20"/>
                <w:szCs w:val="20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 uczestniczące w danym projekcie zobowiązują się do przekazania wiedzy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z zakresu rodzajów alarmów i komunikatów ostrzegawczych oraz zagrożeń oraz działań prewencyjnych w sposób powszechnie przyjęty w danej gminie.</w:t>
            </w:r>
          </w:p>
        </w:tc>
        <w:tc>
          <w:tcPr>
            <w:tcW w:w="504" w:type="pct"/>
            <w:vAlign w:val="center"/>
          </w:tcPr>
          <w:p w:rsidR="00A617E3" w:rsidRPr="006C7E7B" w:rsidRDefault="00A617E3" w:rsidP="00E52AC0">
            <w:pPr>
              <w:pStyle w:val="Akapitzlist"/>
              <w:spacing w:after="0"/>
              <w:ind w:left="445" w:right="-108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0/1</w:t>
            </w:r>
          </w:p>
        </w:tc>
      </w:tr>
    </w:tbl>
    <w:p w:rsidR="00ED7AD8" w:rsidRPr="006C7E7B" w:rsidRDefault="00ED7AD8" w:rsidP="000D58E7">
      <w:pPr>
        <w:rPr>
          <w:rFonts w:asciiTheme="minorHAnsi" w:eastAsia="Times New Roman" w:hAnsiTheme="minorHAnsi" w:cs="Arial"/>
          <w:b/>
          <w:color w:val="000000" w:themeColor="text1"/>
          <w:sz w:val="20"/>
          <w:szCs w:val="20"/>
          <w:lang w:eastAsia="pl-PL"/>
        </w:rPr>
      </w:pPr>
      <w:bookmarkStart w:id="20" w:name="_Toc457226144"/>
      <w:bookmarkStart w:id="21" w:name="_Toc457376894"/>
      <w:bookmarkStart w:id="22" w:name="_Toc457987743"/>
      <w:bookmarkEnd w:id="18"/>
    </w:p>
    <w:p w:rsidR="006C7E7B" w:rsidRPr="006C7E7B" w:rsidRDefault="003219F3" w:rsidP="006C7E7B">
      <w:pPr>
        <w:pStyle w:val="Akapitzlist"/>
        <w:numPr>
          <w:ilvl w:val="0"/>
          <w:numId w:val="45"/>
        </w:numPr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pl-PL"/>
        </w:rPr>
      </w:pPr>
      <w:r w:rsidRPr="006C7E7B"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pl-PL"/>
        </w:rPr>
        <w:t>Kryteria merytoryczne szczegółowe</w:t>
      </w:r>
    </w:p>
    <w:p w:rsidR="006C7E7B" w:rsidRPr="006C7E7B" w:rsidRDefault="006C7E7B" w:rsidP="006C7E7B">
      <w:pPr>
        <w:pStyle w:val="Nagwek5"/>
        <w:rPr>
          <w:rFonts w:asciiTheme="minorHAnsi" w:hAnsiTheme="minorHAnsi"/>
          <w:sz w:val="20"/>
          <w:szCs w:val="20"/>
        </w:rPr>
      </w:pPr>
      <w:bookmarkStart w:id="23" w:name="_Toc474916650"/>
      <w:r w:rsidRPr="006C7E7B">
        <w:rPr>
          <w:rFonts w:asciiTheme="minorHAnsi" w:hAnsiTheme="minorHAnsi"/>
          <w:sz w:val="20"/>
          <w:szCs w:val="20"/>
        </w:rPr>
        <w:t>Działanie 5.1 - typ projektu: „Systemy wczesnego ostrzegania przed zjawiskami katastrofalnymi.”</w:t>
      </w:r>
      <w:bookmarkEnd w:id="23"/>
    </w:p>
    <w:p w:rsidR="006C7E7B" w:rsidRPr="006C7E7B" w:rsidRDefault="006C7E7B" w:rsidP="006C7E7B">
      <w:pPr>
        <w:pStyle w:val="Bezodstpw"/>
        <w:rPr>
          <w:rFonts w:asciiTheme="minorHAnsi" w:hAnsiTheme="minorHAnsi"/>
          <w:sz w:val="20"/>
        </w:rPr>
      </w:pPr>
      <w:r w:rsidRPr="006C7E7B">
        <w:rPr>
          <w:rFonts w:asciiTheme="minorHAnsi" w:hAnsiTheme="minorHAnsi"/>
          <w:sz w:val="20"/>
        </w:rPr>
        <w:t xml:space="preserve">Kryteria wyboru projektów przyjęte przez </w:t>
      </w:r>
      <w:r>
        <w:rPr>
          <w:rFonts w:asciiTheme="minorHAnsi" w:hAnsiTheme="minorHAnsi"/>
          <w:sz w:val="20"/>
        </w:rPr>
        <w:t xml:space="preserve">Komitet Monitorujący RPO WM na </w:t>
      </w:r>
      <w:r w:rsidRPr="006C7E7B">
        <w:rPr>
          <w:rFonts w:asciiTheme="minorHAnsi" w:hAnsiTheme="minorHAnsi"/>
          <w:sz w:val="20"/>
        </w:rPr>
        <w:t>XXI posiedzeniu w dniu 10 lutego 2017 r.</w:t>
      </w:r>
    </w:p>
    <w:p w:rsidR="006C7E7B" w:rsidRPr="006C7E7B" w:rsidRDefault="006C7E7B" w:rsidP="006C7E7B">
      <w:pPr>
        <w:spacing w:before="240" w:after="240"/>
        <w:rPr>
          <w:rFonts w:asciiTheme="minorHAnsi" w:hAnsiTheme="minorHAnsi" w:cs="Arial"/>
          <w:b/>
          <w:sz w:val="20"/>
          <w:szCs w:val="20"/>
        </w:rPr>
      </w:pPr>
      <w:r w:rsidRPr="006C7E7B">
        <w:rPr>
          <w:rFonts w:asciiTheme="minorHAnsi" w:hAnsiTheme="minorHAnsi" w:cs="Arial"/>
          <w:b/>
          <w:sz w:val="20"/>
          <w:szCs w:val="20"/>
        </w:rPr>
        <w:t xml:space="preserve">Kryteria merytoryczne – szczegółowe tylko w sytuacji gdy popyt przewyższy dostępne środki zastosowane w ramach konkursu. 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6C7E7B">
        <w:rPr>
          <w:rFonts w:asciiTheme="minorHAnsi" w:hAnsiTheme="minorHAnsi" w:cs="Arial"/>
          <w:b/>
          <w:sz w:val="20"/>
          <w:szCs w:val="20"/>
        </w:rPr>
        <w:t>W ramach naboru nie stosuje się wymogu 60% limitu punktów dopuszczającego projekt do dalszej oceny.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1"/>
        <w:gridCol w:w="1999"/>
        <w:gridCol w:w="5466"/>
        <w:gridCol w:w="4027"/>
        <w:gridCol w:w="2147"/>
      </w:tblGrid>
      <w:tr w:rsidR="006C7E7B" w:rsidRPr="006C7E7B" w:rsidTr="00E52AC0">
        <w:trPr>
          <w:tblHeader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L.p.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b/>
                <w:sz w:val="20"/>
                <w:szCs w:val="20"/>
              </w:rPr>
              <w:t>Liczba punktów</w:t>
            </w:r>
          </w:p>
        </w:tc>
      </w:tr>
      <w:tr w:rsidR="006C7E7B" w:rsidRPr="006C7E7B" w:rsidTr="00E52AC0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Intensywność występowania zagrożeń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pStyle w:val="Spistreci1"/>
              <w:tabs>
                <w:tab w:val="left" w:pos="240"/>
                <w:tab w:val="right" w:leader="dot" w:pos="9637"/>
              </w:tabs>
              <w:spacing w:before="0" w:after="0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Kryterium będzie oceniane na podstawie „Rekomendacji Wojewody Mazowieckiego dla budowy zintegrowanego systemu ostrzegania i alarmowania ludności o zagrożeniach dla Województwa Mazowieckiego w ramach Regionalnego Programu Operacyjnego Województwa Mazowieckiego 2014 – 2020”, które określają stopień występowania poszczególnych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kategorii zagrożeń na terenie </w:t>
            </w:r>
            <w:proofErr w:type="spellStart"/>
            <w:r w:rsidRPr="006C7E7B">
              <w:rPr>
                <w:rFonts w:asciiTheme="minorHAnsi" w:hAnsiTheme="minorHAnsi" w:cs="Arial"/>
                <w:sz w:val="20"/>
                <w:szCs w:val="20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  <w:sz w:val="20"/>
                <w:szCs w:val="20"/>
              </w:rPr>
              <w:t>/powiatu.</w:t>
            </w:r>
          </w:p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Zagrożenia: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Zagrożenia powodziowe</w:t>
            </w:r>
            <w:r w:rsidRPr="006C7E7B">
              <w:rPr>
                <w:rFonts w:asciiTheme="minorHAnsi" w:hAnsiTheme="minorHAnsi" w:cs="Arial"/>
              </w:rPr>
              <w:t xml:space="preserve"> - cykliczne występowanie zagrożenia powodziowego na terytorium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Zagrożenia chemiczne</w:t>
            </w:r>
            <w:r w:rsidRPr="006C7E7B">
              <w:rPr>
                <w:rFonts w:asciiTheme="minorHAnsi" w:hAnsiTheme="minorHAnsi" w:cs="Arial"/>
              </w:rPr>
              <w:t xml:space="preserve"> - Rozmieszczenie na terenie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 zakładów przemysłowych składujących lub wykorzystujących w procesie produkcji Toksyczne Środki Przemysłowe.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Zagrożenia związane z eksploatacją składowisk</w:t>
            </w:r>
            <w:r w:rsidRPr="006C7E7B">
              <w:rPr>
                <w:rFonts w:asciiTheme="minorHAnsi" w:hAnsiTheme="minorHAnsi" w:cs="Arial"/>
              </w:rPr>
              <w:t xml:space="preserve"> - Rozmieszczenie na terytorium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 składowisk z substancjami chemicznymi, promieniotwórczymi lub biologicznymi.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Zagrożenie w transporcie materiałów niebezpiecznych</w:t>
            </w:r>
            <w:r w:rsidRPr="006C7E7B">
              <w:rPr>
                <w:rFonts w:asciiTheme="minorHAnsi" w:hAnsiTheme="minorHAnsi" w:cs="Arial"/>
              </w:rPr>
              <w:t xml:space="preserve"> - Występowanie na terytorium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 xml:space="preserve">/powiatu szlaków komunikacyjnych po których transportowane są materiały niebezpieczne.  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Zagrożenia radiacyjne</w:t>
            </w:r>
            <w:r w:rsidRPr="006C7E7B">
              <w:rPr>
                <w:rFonts w:asciiTheme="minorHAnsi" w:hAnsiTheme="minorHAnsi" w:cs="Arial"/>
              </w:rPr>
              <w:t xml:space="preserve"> - Szlaki komunikacyjne którymi transportowane są substancje promieniotwórcze, składowiska substancji promieniotwórczych, oraz reaktory jądrowe na terenie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 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Zagrożenia niekorzystnymi zjawiskami atmosferycznymi: Silne huraganowe wiatry, Nadmierne opady deszczu śniegu, gradu</w:t>
            </w:r>
            <w:r w:rsidRPr="006C7E7B">
              <w:rPr>
                <w:rFonts w:asciiTheme="minorHAnsi" w:hAnsiTheme="minorHAnsi" w:cs="Arial"/>
              </w:rPr>
              <w:t xml:space="preserve"> - Cykliczne występowanie niekorzystnych zjawisk atmosferycznych </w:t>
            </w:r>
            <w:r w:rsidRPr="006C7E7B">
              <w:rPr>
                <w:rFonts w:asciiTheme="minorHAnsi" w:hAnsiTheme="minorHAnsi" w:cs="Arial"/>
              </w:rPr>
              <w:lastRenderedPageBreak/>
              <w:t xml:space="preserve">na terytorium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8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  <w:b/>
              </w:rPr>
              <w:t>Zagrożenie terrorystyczne</w:t>
            </w:r>
            <w:r w:rsidRPr="006C7E7B">
              <w:rPr>
                <w:rFonts w:asciiTheme="minorHAnsi" w:hAnsiTheme="minorHAnsi" w:cs="Arial"/>
              </w:rPr>
              <w:t xml:space="preserve"> - Występowanie </w:t>
            </w:r>
            <w:r w:rsidRPr="006C7E7B">
              <w:rPr>
                <w:rFonts w:asciiTheme="minorHAnsi" w:hAnsiTheme="minorHAnsi" w:cs="Arial"/>
              </w:rPr>
              <w:br/>
              <w:t xml:space="preserve">na terytorium </w:t>
            </w:r>
            <w:proofErr w:type="spellStart"/>
            <w:r w:rsidRPr="006C7E7B">
              <w:rPr>
                <w:rFonts w:asciiTheme="minorHAnsi" w:hAnsiTheme="minorHAnsi" w:cs="Arial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</w:rPr>
              <w:t>/powiatu infrastruktury krytycznej która może stać się celem ataku terrorystycznego.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pStyle w:val="Akapitzlist"/>
              <w:ind w:left="44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lastRenderedPageBreak/>
              <w:t>Zagrożenia: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5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lastRenderedPageBreak/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9"/>
              </w:numPr>
              <w:spacing w:before="80" w:after="80" w:line="312" w:lineRule="auto"/>
              <w:ind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Duże – 3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Średnie – 2 pkt.</w:t>
            </w:r>
          </w:p>
          <w:p w:rsidR="006C7E7B" w:rsidRPr="006C7E7B" w:rsidRDefault="006C7E7B" w:rsidP="00E52AC0">
            <w:pPr>
              <w:pStyle w:val="Akapitzlist"/>
              <w:ind w:left="805" w:right="-108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Małe – 1 pkt.</w:t>
            </w:r>
          </w:p>
          <w:p w:rsidR="006C7E7B" w:rsidRPr="006C7E7B" w:rsidRDefault="006C7E7B" w:rsidP="00E52AC0">
            <w:pPr>
              <w:pStyle w:val="Default"/>
              <w:spacing w:before="80" w:after="80" w:line="312" w:lineRule="auto"/>
              <w:rPr>
                <w:rFonts w:asciiTheme="minorHAnsi" w:hAnsiTheme="minorHAnsi"/>
                <w:sz w:val="20"/>
                <w:szCs w:val="20"/>
              </w:rPr>
            </w:pPr>
            <w:r w:rsidRPr="006C7E7B">
              <w:rPr>
                <w:rFonts w:asciiTheme="minorHAnsi" w:hAnsiTheme="minorHAnsi"/>
                <w:color w:val="auto"/>
                <w:sz w:val="20"/>
                <w:szCs w:val="20"/>
              </w:rPr>
              <w:t>Punktacja w ramach kryterium  podlega sumowaniu.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>23</w:t>
            </w:r>
          </w:p>
        </w:tc>
      </w:tr>
      <w:tr w:rsidR="006C7E7B" w:rsidRPr="006C7E7B" w:rsidTr="00E52AC0"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Zasięg projektu 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Kryterium będzie promować projekty, które będą obejmować jak największą liczbę mieszkańców.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Zasięg projektu obejmuje: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6"/>
              </w:numPr>
              <w:spacing w:before="24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powyżej 7500 mieszkańców - 15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6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od 5000 do 7500 mieszkańców - 10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6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min. 2500 mieszkańców - 5 pkt.</w:t>
            </w:r>
          </w:p>
          <w:p w:rsidR="006C7E7B" w:rsidRPr="006C7E7B" w:rsidRDefault="006C7E7B" w:rsidP="00E52AC0">
            <w:pPr>
              <w:pStyle w:val="Default"/>
              <w:spacing w:after="200" w:line="312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C7E7B">
              <w:rPr>
                <w:rFonts w:asciiTheme="minorHAnsi" w:hAnsiTheme="minorHAnsi"/>
                <w:color w:val="auto"/>
                <w:sz w:val="20"/>
                <w:szCs w:val="20"/>
              </w:rPr>
              <w:t>Punktacja w ramach kryterium nie podlega sumowaniu.</w:t>
            </w:r>
          </w:p>
          <w:p w:rsidR="006C7E7B" w:rsidRPr="006C7E7B" w:rsidRDefault="006C7E7B" w:rsidP="00E52AC0">
            <w:pPr>
              <w:spacing w:after="0"/>
              <w:ind w:right="-108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Brak  informacji w tym zakresie – 0 pkt.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</w:tr>
      <w:tr w:rsidR="006C7E7B" w:rsidRPr="006C7E7B" w:rsidTr="00E52AC0"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Edukacja w zakresie wiedzy o zagrożeniach, sygnałach alarmowych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i komunikatach ostrzegawczych</w:t>
            </w:r>
          </w:p>
        </w:tc>
        <w:tc>
          <w:tcPr>
            <w:tcW w:w="19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Kryterium promuje projekty zawierające elementy  edukacyjne   w zakresie wiedzy nt. rodzajów alarmów i komunikatów ostrzegawczych oraz zagrożeń w przypadku wystąpienia zjawisk katastrofalnych oraz działań prewencyjnych. </w:t>
            </w:r>
          </w:p>
        </w:tc>
        <w:tc>
          <w:tcPr>
            <w:tcW w:w="141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Wszystkie </w:t>
            </w:r>
            <w:proofErr w:type="spellStart"/>
            <w:r w:rsidRPr="006C7E7B">
              <w:rPr>
                <w:rFonts w:asciiTheme="minorHAnsi" w:hAnsiTheme="minorHAnsi" w:cs="Arial"/>
                <w:sz w:val="20"/>
                <w:szCs w:val="20"/>
              </w:rPr>
              <w:t>gminy</w:t>
            </w:r>
            <w:proofErr w:type="spellEnd"/>
            <w:r w:rsidRPr="006C7E7B">
              <w:rPr>
                <w:rFonts w:asciiTheme="minorHAnsi" w:hAnsiTheme="minorHAnsi" w:cs="Arial"/>
                <w:sz w:val="20"/>
                <w:szCs w:val="20"/>
              </w:rPr>
              <w:t xml:space="preserve"> uczestniczące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 xml:space="preserve">w danym projekcie  zobowiązują się do przekazania wiedzy z zakresu rodzajów alarmów </w:t>
            </w:r>
            <w:r w:rsidRPr="006C7E7B">
              <w:rPr>
                <w:rFonts w:asciiTheme="minorHAnsi" w:hAnsiTheme="minorHAnsi" w:cs="Arial"/>
                <w:sz w:val="20"/>
                <w:szCs w:val="20"/>
              </w:rPr>
              <w:br/>
              <w:t>i komunikatów ostrzegawczych oraz zagrożeń oraz działań prewencyjnych w formach: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50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spotkania z mieszkańcami w gminie, która jest objęta projektem.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50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 xml:space="preserve">materiałów w wersji elektronicznej (np. strona internetowa, w tym materiały do pobrania oraz publikacje </w:t>
            </w:r>
            <w:proofErr w:type="spellStart"/>
            <w:r w:rsidRPr="006C7E7B">
              <w:rPr>
                <w:rFonts w:asciiTheme="minorHAnsi" w:hAnsiTheme="minorHAnsi" w:cs="Arial"/>
              </w:rPr>
              <w:t>on-line</w:t>
            </w:r>
            <w:proofErr w:type="spellEnd"/>
            <w:r w:rsidRPr="006C7E7B">
              <w:rPr>
                <w:rFonts w:asciiTheme="minorHAnsi" w:hAnsiTheme="minorHAnsi" w:cs="Arial"/>
              </w:rPr>
              <w:t xml:space="preserve"> itd.).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50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plakaty.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50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 xml:space="preserve">artykuł w prasie lub/i audycja radiowa w </w:t>
            </w:r>
            <w:r w:rsidRPr="006C7E7B">
              <w:rPr>
                <w:rFonts w:asciiTheme="minorHAnsi" w:hAnsiTheme="minorHAnsi" w:cs="Arial"/>
              </w:rPr>
              <w:lastRenderedPageBreak/>
              <w:t>wymiarze lokalnym.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50"/>
              </w:numPr>
              <w:spacing w:after="20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pozostałych narzędzi informacyjno-edukacyjnych niewymienionych powyżej (np. festyn, piknik).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7"/>
              </w:numPr>
              <w:spacing w:before="80" w:after="80" w:line="312" w:lineRule="auto"/>
              <w:ind w:left="714" w:hanging="357"/>
              <w:contextualSpacing w:val="0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projekt obejmujący wszystkie z ww. form edukacyjnych - 5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7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projekt obejmujący 4 z ww. form edukacyjnych  – 4pkt.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7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projekt obejmujący 3 z ww. form edukacyjnych  – 3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7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projekt obejmujący 2 z ww. form edukacyjnych – 2 pkt.</w:t>
            </w:r>
          </w:p>
          <w:p w:rsidR="006C7E7B" w:rsidRPr="006C7E7B" w:rsidRDefault="006C7E7B" w:rsidP="006C7E7B">
            <w:pPr>
              <w:pStyle w:val="Akapitzlist"/>
              <w:numPr>
                <w:ilvl w:val="0"/>
                <w:numId w:val="47"/>
              </w:numPr>
              <w:spacing w:before="80" w:after="80" w:line="312" w:lineRule="auto"/>
              <w:rPr>
                <w:rFonts w:asciiTheme="minorHAnsi" w:hAnsiTheme="minorHAnsi" w:cs="Arial"/>
              </w:rPr>
            </w:pPr>
            <w:r w:rsidRPr="006C7E7B">
              <w:rPr>
                <w:rFonts w:asciiTheme="minorHAnsi" w:hAnsiTheme="minorHAnsi" w:cs="Arial"/>
              </w:rPr>
              <w:t>projekt obejmujący 1 z ww. form edukacyjnych – 1 pkt.</w:t>
            </w:r>
          </w:p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Punktacja w ramach kryterium nie podlega sumowaniu.</w:t>
            </w:r>
          </w:p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E7B" w:rsidRPr="006C7E7B" w:rsidRDefault="006C7E7B" w:rsidP="00E52AC0">
            <w:pPr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  <w:r w:rsidRPr="006C7E7B">
              <w:rPr>
                <w:rFonts w:asciiTheme="minorHAnsi" w:hAnsiTheme="minorHAnsi" w:cs="Arial"/>
                <w:sz w:val="20"/>
                <w:szCs w:val="20"/>
              </w:rPr>
              <w:lastRenderedPageBreak/>
              <w:t>5</w:t>
            </w:r>
          </w:p>
        </w:tc>
      </w:tr>
      <w:bookmarkEnd w:id="20"/>
      <w:bookmarkEnd w:id="21"/>
      <w:bookmarkEnd w:id="22"/>
    </w:tbl>
    <w:p w:rsidR="006C7E7B" w:rsidRPr="006C7E7B" w:rsidRDefault="006C7E7B" w:rsidP="006C7E7B">
      <w:pPr>
        <w:rPr>
          <w:rFonts w:asciiTheme="minorHAnsi" w:eastAsia="Times New Roman" w:hAnsiTheme="minorHAnsi" w:cs="Arial"/>
          <w:b/>
          <w:color w:val="000000" w:themeColor="text1"/>
          <w:sz w:val="28"/>
          <w:szCs w:val="28"/>
          <w:lang w:eastAsia="pl-PL"/>
        </w:rPr>
      </w:pPr>
    </w:p>
    <w:sectPr w:rsidR="006C7E7B" w:rsidRPr="006C7E7B" w:rsidSect="004B792A">
      <w:headerReference w:type="first" r:id="rId8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8E" w:rsidRDefault="0079268E" w:rsidP="00017BEB">
      <w:pPr>
        <w:spacing w:after="0" w:line="240" w:lineRule="auto"/>
      </w:pPr>
      <w:r>
        <w:separator/>
      </w:r>
    </w:p>
  </w:endnote>
  <w:endnote w:type="continuationSeparator" w:id="0">
    <w:p w:rsidR="0079268E" w:rsidRDefault="0079268E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8E" w:rsidRDefault="0079268E" w:rsidP="00017BEB">
      <w:pPr>
        <w:spacing w:after="0" w:line="240" w:lineRule="auto"/>
      </w:pPr>
      <w:r>
        <w:separator/>
      </w:r>
    </w:p>
  </w:footnote>
  <w:footnote w:type="continuationSeparator" w:id="0">
    <w:p w:rsidR="0079268E" w:rsidRDefault="0079268E" w:rsidP="00017BEB">
      <w:pPr>
        <w:spacing w:after="0" w:line="240" w:lineRule="auto"/>
      </w:pPr>
      <w:r>
        <w:continuationSeparator/>
      </w:r>
    </w:p>
  </w:footnote>
  <w:footnote w:id="1">
    <w:p w:rsidR="000D58E7" w:rsidRDefault="000D58E7" w:rsidP="000D58E7">
      <w:pPr>
        <w:pStyle w:val="Tekstprzypisudolnego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AA2" w:rsidRDefault="004F1891">
    <w:pPr>
      <w:pStyle w:val="Nagwek"/>
    </w:pPr>
    <w:r>
      <w:rPr>
        <w:noProof/>
        <w:lang w:eastAsia="pl-PL"/>
      </w:rPr>
      <w:drawing>
        <wp:inline distT="0" distB="0" distL="0" distR="0">
          <wp:extent cx="8562975" cy="819150"/>
          <wp:effectExtent l="19050" t="0" r="9525" b="0"/>
          <wp:docPr id="2" name="Obraz 4" descr="http://biw.mazowia.eu/g2/oryginal/2017_01/def92160bb13e611f6b4dde7b5c2be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biw.mazowia.eu/g2/oryginal/2017_01/def92160bb13e611f6b4dde7b5c2be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2E0C" w:rsidRDefault="00EF2E0C" w:rsidP="00E558E6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373"/>
    <w:multiLevelType w:val="hybridMultilevel"/>
    <w:tmpl w:val="34400110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2659"/>
    <w:multiLevelType w:val="hybridMultilevel"/>
    <w:tmpl w:val="F97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91833"/>
    <w:multiLevelType w:val="hybridMultilevel"/>
    <w:tmpl w:val="3906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6048"/>
    <w:multiLevelType w:val="hybridMultilevel"/>
    <w:tmpl w:val="AFAA78B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FF81FA6">
      <w:start w:val="1"/>
      <w:numFmt w:val="decimal"/>
      <w:lvlText w:val="%2."/>
      <w:lvlJc w:val="left"/>
      <w:pPr>
        <w:ind w:left="1011" w:hanging="615"/>
      </w:pPr>
      <w:rPr>
        <w:rFonts w:hint="default"/>
        <w:color w:val="000000" w:themeColor="text1"/>
      </w:rPr>
    </w:lvl>
    <w:lvl w:ilvl="2" w:tplc="9C76C2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3775C"/>
    <w:multiLevelType w:val="multilevel"/>
    <w:tmpl w:val="AB2C64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0">
    <w:nsid w:val="202851BD"/>
    <w:multiLevelType w:val="hybridMultilevel"/>
    <w:tmpl w:val="17AED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51D80"/>
    <w:multiLevelType w:val="hybridMultilevel"/>
    <w:tmpl w:val="E280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2183F"/>
    <w:multiLevelType w:val="hybridMultilevel"/>
    <w:tmpl w:val="AFB09E88"/>
    <w:lvl w:ilvl="0" w:tplc="8F2033F2">
      <w:start w:val="1"/>
      <w:numFmt w:val="bullet"/>
      <w:lvlText w:val="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3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>
    <w:nsid w:val="2B2D2445"/>
    <w:multiLevelType w:val="hybridMultilevel"/>
    <w:tmpl w:val="534A8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6">
    <w:nsid w:val="347E0635"/>
    <w:multiLevelType w:val="hybridMultilevel"/>
    <w:tmpl w:val="8C2AC1A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20475"/>
    <w:multiLevelType w:val="multilevel"/>
    <w:tmpl w:val="72267E64"/>
    <w:lvl w:ilvl="0">
      <w:start w:val="1"/>
      <w:numFmt w:val="bullet"/>
      <w:lvlText w:val="­"/>
      <w:lvlJc w:val="left"/>
      <w:pPr>
        <w:ind w:left="8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18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3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12282"/>
    <w:multiLevelType w:val="hybridMultilevel"/>
    <w:tmpl w:val="0B16B8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65A52B0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BF60FB"/>
    <w:multiLevelType w:val="hybridMultilevel"/>
    <w:tmpl w:val="CCDCAF0C"/>
    <w:lvl w:ilvl="0" w:tplc="CE74CA2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7">
    <w:nsid w:val="722014C6"/>
    <w:multiLevelType w:val="hybridMultilevel"/>
    <w:tmpl w:val="3FE0023A"/>
    <w:lvl w:ilvl="0" w:tplc="8F2033F2">
      <w:start w:val="1"/>
      <w:numFmt w:val="bullet"/>
      <w:lvlText w:val="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8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314AA"/>
    <w:multiLevelType w:val="multilevel"/>
    <w:tmpl w:val="FC7E2DF4"/>
    <w:lvl w:ilvl="0">
      <w:start w:val="1"/>
      <w:numFmt w:val="bullet"/>
      <w:lvlText w:val="­"/>
      <w:lvlJc w:val="left"/>
      <w:pPr>
        <w:ind w:left="8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cs="Wingdings" w:hint="default"/>
      </w:rPr>
    </w:lvl>
  </w:abstractNum>
  <w:abstractNum w:abstractNumId="40">
    <w:nsid w:val="74DE2B3A"/>
    <w:multiLevelType w:val="hybridMultilevel"/>
    <w:tmpl w:val="A1245F2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74759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43">
    <w:nsid w:val="77751D7A"/>
    <w:multiLevelType w:val="hybridMultilevel"/>
    <w:tmpl w:val="0752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B48C9"/>
    <w:multiLevelType w:val="hybridMultilevel"/>
    <w:tmpl w:val="048A7E16"/>
    <w:lvl w:ilvl="0" w:tplc="8F2033F2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8">
    <w:nsid w:val="7CF33C26"/>
    <w:multiLevelType w:val="hybridMultilevel"/>
    <w:tmpl w:val="7876A6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1"/>
  </w:num>
  <w:num w:numId="4">
    <w:abstractNumId w:val="2"/>
  </w:num>
  <w:num w:numId="5">
    <w:abstractNumId w:val="13"/>
  </w:num>
  <w:num w:numId="6">
    <w:abstractNumId w:val="46"/>
  </w:num>
  <w:num w:numId="7">
    <w:abstractNumId w:val="38"/>
  </w:num>
  <w:num w:numId="8">
    <w:abstractNumId w:val="30"/>
  </w:num>
  <w:num w:numId="9">
    <w:abstractNumId w:val="1"/>
  </w:num>
  <w:num w:numId="10">
    <w:abstractNumId w:val="8"/>
  </w:num>
  <w:num w:numId="11">
    <w:abstractNumId w:val="26"/>
  </w:num>
  <w:num w:numId="12">
    <w:abstractNumId w:val="23"/>
  </w:num>
  <w:num w:numId="13">
    <w:abstractNumId w:val="49"/>
  </w:num>
  <w:num w:numId="14">
    <w:abstractNumId w:val="29"/>
  </w:num>
  <w:num w:numId="15">
    <w:abstractNumId w:val="15"/>
  </w:num>
  <w:num w:numId="16">
    <w:abstractNumId w:val="24"/>
  </w:num>
  <w:num w:numId="17">
    <w:abstractNumId w:val="18"/>
  </w:num>
  <w:num w:numId="18">
    <w:abstractNumId w:val="27"/>
  </w:num>
  <w:num w:numId="19">
    <w:abstractNumId w:val="35"/>
  </w:num>
  <w:num w:numId="20">
    <w:abstractNumId w:val="44"/>
  </w:num>
  <w:num w:numId="21">
    <w:abstractNumId w:val="25"/>
  </w:num>
  <w:num w:numId="22">
    <w:abstractNumId w:val="19"/>
  </w:num>
  <w:num w:numId="23">
    <w:abstractNumId w:val="36"/>
  </w:num>
  <w:num w:numId="24">
    <w:abstractNumId w:val="22"/>
  </w:num>
  <w:num w:numId="25">
    <w:abstractNumId w:val="43"/>
  </w:num>
  <w:num w:numId="26">
    <w:abstractNumId w:val="10"/>
  </w:num>
  <w:num w:numId="27">
    <w:abstractNumId w:val="48"/>
  </w:num>
  <w:num w:numId="28">
    <w:abstractNumId w:val="16"/>
  </w:num>
  <w:num w:numId="29">
    <w:abstractNumId w:val="9"/>
  </w:num>
  <w:num w:numId="30">
    <w:abstractNumId w:val="3"/>
  </w:num>
  <w:num w:numId="31">
    <w:abstractNumId w:val="14"/>
  </w:num>
  <w:num w:numId="32">
    <w:abstractNumId w:val="32"/>
  </w:num>
  <w:num w:numId="33">
    <w:abstractNumId w:val="4"/>
  </w:num>
  <w:num w:numId="34">
    <w:abstractNumId w:val="11"/>
  </w:num>
  <w:num w:numId="35">
    <w:abstractNumId w:val="20"/>
  </w:num>
  <w:num w:numId="36">
    <w:abstractNumId w:val="45"/>
  </w:num>
  <w:num w:numId="37">
    <w:abstractNumId w:val="7"/>
  </w:num>
  <w:num w:numId="38">
    <w:abstractNumId w:val="39"/>
  </w:num>
  <w:num w:numId="39">
    <w:abstractNumId w:val="17"/>
  </w:num>
  <w:num w:numId="40">
    <w:abstractNumId w:val="47"/>
  </w:num>
  <w:num w:numId="41">
    <w:abstractNumId w:val="12"/>
  </w:num>
  <w:num w:numId="42">
    <w:abstractNumId w:val="37"/>
  </w:num>
  <w:num w:numId="43">
    <w:abstractNumId w:val="40"/>
  </w:num>
  <w:num w:numId="44">
    <w:abstractNumId w:val="0"/>
  </w:num>
  <w:num w:numId="45">
    <w:abstractNumId w:val="34"/>
  </w:num>
  <w:num w:numId="46">
    <w:abstractNumId w:val="41"/>
  </w:num>
  <w:num w:numId="47">
    <w:abstractNumId w:val="28"/>
  </w:num>
  <w:num w:numId="48">
    <w:abstractNumId w:val="5"/>
  </w:num>
  <w:num w:numId="49">
    <w:abstractNumId w:val="42"/>
  </w:num>
  <w:num w:numId="50">
    <w:abstractNumId w:val="3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2C42"/>
    <w:rsid w:val="000A3B4B"/>
    <w:rsid w:val="000B0AA3"/>
    <w:rsid w:val="000B487D"/>
    <w:rsid w:val="000B50A7"/>
    <w:rsid w:val="000C7340"/>
    <w:rsid w:val="000D0D2C"/>
    <w:rsid w:val="000D58E7"/>
    <w:rsid w:val="000E35ED"/>
    <w:rsid w:val="000E7C83"/>
    <w:rsid w:val="000F2423"/>
    <w:rsid w:val="001100EE"/>
    <w:rsid w:val="00112ABE"/>
    <w:rsid w:val="0011649D"/>
    <w:rsid w:val="00124F3C"/>
    <w:rsid w:val="00127CD5"/>
    <w:rsid w:val="00137D21"/>
    <w:rsid w:val="001447F4"/>
    <w:rsid w:val="001453E2"/>
    <w:rsid w:val="001614B8"/>
    <w:rsid w:val="0016461B"/>
    <w:rsid w:val="00176373"/>
    <w:rsid w:val="001954F3"/>
    <w:rsid w:val="001A198B"/>
    <w:rsid w:val="001A2DE3"/>
    <w:rsid w:val="001B1ED9"/>
    <w:rsid w:val="001D407D"/>
    <w:rsid w:val="001D4759"/>
    <w:rsid w:val="00206F34"/>
    <w:rsid w:val="00212208"/>
    <w:rsid w:val="00217E06"/>
    <w:rsid w:val="00232BF6"/>
    <w:rsid w:val="002445D2"/>
    <w:rsid w:val="002546E8"/>
    <w:rsid w:val="00264E05"/>
    <w:rsid w:val="00273D0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171CF"/>
    <w:rsid w:val="003219F3"/>
    <w:rsid w:val="003240AC"/>
    <w:rsid w:val="00351EBC"/>
    <w:rsid w:val="00355AA7"/>
    <w:rsid w:val="00361215"/>
    <w:rsid w:val="0036423E"/>
    <w:rsid w:val="00365E36"/>
    <w:rsid w:val="00381BA9"/>
    <w:rsid w:val="00383F0C"/>
    <w:rsid w:val="003924B9"/>
    <w:rsid w:val="003A121E"/>
    <w:rsid w:val="003B75B6"/>
    <w:rsid w:val="003E28DA"/>
    <w:rsid w:val="003E7D9A"/>
    <w:rsid w:val="003F1B41"/>
    <w:rsid w:val="003F6F6C"/>
    <w:rsid w:val="00405664"/>
    <w:rsid w:val="00416DEE"/>
    <w:rsid w:val="004378A1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40D9"/>
    <w:rsid w:val="004E6FCA"/>
    <w:rsid w:val="004E7E2E"/>
    <w:rsid w:val="004F1891"/>
    <w:rsid w:val="00511AB6"/>
    <w:rsid w:val="00525897"/>
    <w:rsid w:val="00525F9A"/>
    <w:rsid w:val="00526EC9"/>
    <w:rsid w:val="00531C32"/>
    <w:rsid w:val="0053722F"/>
    <w:rsid w:val="005560B1"/>
    <w:rsid w:val="005704DF"/>
    <w:rsid w:val="00572100"/>
    <w:rsid w:val="00583C9A"/>
    <w:rsid w:val="005905C9"/>
    <w:rsid w:val="00591B56"/>
    <w:rsid w:val="005A3757"/>
    <w:rsid w:val="005A4342"/>
    <w:rsid w:val="005C2EB8"/>
    <w:rsid w:val="005E68F7"/>
    <w:rsid w:val="00633028"/>
    <w:rsid w:val="00633F4D"/>
    <w:rsid w:val="00636708"/>
    <w:rsid w:val="00645225"/>
    <w:rsid w:val="00645DBD"/>
    <w:rsid w:val="00651870"/>
    <w:rsid w:val="00652D03"/>
    <w:rsid w:val="00655C24"/>
    <w:rsid w:val="0066192C"/>
    <w:rsid w:val="006A192F"/>
    <w:rsid w:val="006A224E"/>
    <w:rsid w:val="006A7A7B"/>
    <w:rsid w:val="006B444D"/>
    <w:rsid w:val="006B6E2E"/>
    <w:rsid w:val="006C332C"/>
    <w:rsid w:val="006C7E7B"/>
    <w:rsid w:val="006D19AC"/>
    <w:rsid w:val="006D4FE3"/>
    <w:rsid w:val="006E0062"/>
    <w:rsid w:val="006E1FBC"/>
    <w:rsid w:val="00734810"/>
    <w:rsid w:val="00735DA0"/>
    <w:rsid w:val="0075340B"/>
    <w:rsid w:val="00762C1B"/>
    <w:rsid w:val="0078218B"/>
    <w:rsid w:val="0079268E"/>
    <w:rsid w:val="00796871"/>
    <w:rsid w:val="007A7695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408B"/>
    <w:rsid w:val="00861141"/>
    <w:rsid w:val="00865DBB"/>
    <w:rsid w:val="0088082E"/>
    <w:rsid w:val="008B668E"/>
    <w:rsid w:val="008C3949"/>
    <w:rsid w:val="008C63EE"/>
    <w:rsid w:val="008D53E6"/>
    <w:rsid w:val="00903F40"/>
    <w:rsid w:val="00921A1F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A0403B"/>
    <w:rsid w:val="00A07954"/>
    <w:rsid w:val="00A216BA"/>
    <w:rsid w:val="00A26E1F"/>
    <w:rsid w:val="00A57771"/>
    <w:rsid w:val="00A617E3"/>
    <w:rsid w:val="00A707B9"/>
    <w:rsid w:val="00A72660"/>
    <w:rsid w:val="00A765F7"/>
    <w:rsid w:val="00A86AA2"/>
    <w:rsid w:val="00A92A24"/>
    <w:rsid w:val="00AC1ADE"/>
    <w:rsid w:val="00AC4CB8"/>
    <w:rsid w:val="00AC4F49"/>
    <w:rsid w:val="00AC75A0"/>
    <w:rsid w:val="00AD2956"/>
    <w:rsid w:val="00AE6FF2"/>
    <w:rsid w:val="00AE7A27"/>
    <w:rsid w:val="00AF0A19"/>
    <w:rsid w:val="00B175A9"/>
    <w:rsid w:val="00B17FA1"/>
    <w:rsid w:val="00B202EF"/>
    <w:rsid w:val="00B20F35"/>
    <w:rsid w:val="00B47009"/>
    <w:rsid w:val="00B502A7"/>
    <w:rsid w:val="00B77C31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16C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E011B"/>
    <w:rsid w:val="00CF3B19"/>
    <w:rsid w:val="00D0206B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70C5"/>
    <w:rsid w:val="00D57626"/>
    <w:rsid w:val="00D70920"/>
    <w:rsid w:val="00D761B5"/>
    <w:rsid w:val="00D84A85"/>
    <w:rsid w:val="00D953D1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558E6"/>
    <w:rsid w:val="00E67F40"/>
    <w:rsid w:val="00E73013"/>
    <w:rsid w:val="00E73853"/>
    <w:rsid w:val="00E85F94"/>
    <w:rsid w:val="00E93FD3"/>
    <w:rsid w:val="00EB476C"/>
    <w:rsid w:val="00EB4E62"/>
    <w:rsid w:val="00EC1EF6"/>
    <w:rsid w:val="00ED7408"/>
    <w:rsid w:val="00ED7AD8"/>
    <w:rsid w:val="00EF2E0C"/>
    <w:rsid w:val="00EF3021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qFormat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iPriority w:val="99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5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  <w:style w:type="character" w:styleId="Pogrubienie">
    <w:name w:val="Strong"/>
    <w:uiPriority w:val="22"/>
    <w:qFormat/>
    <w:rsid w:val="00A86AA2"/>
    <w:rPr>
      <w:b/>
      <w:bCs/>
      <w:color w:val="F79646"/>
    </w:rPr>
  </w:style>
  <w:style w:type="character" w:customStyle="1" w:styleId="Zakotwiczenieprzypisudolnego">
    <w:name w:val="Zakotwiczenie przypisu dolnego"/>
    <w:rsid w:val="00A86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472F3-5AB4-46A2-86DF-631809FB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2606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5</cp:revision>
  <cp:lastPrinted>2016-01-26T14:10:00Z</cp:lastPrinted>
  <dcterms:created xsi:type="dcterms:W3CDTF">2017-02-23T12:36:00Z</dcterms:created>
  <dcterms:modified xsi:type="dcterms:W3CDTF">2017-02-24T07:28:00Z</dcterms:modified>
</cp:coreProperties>
</file>