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1E" w:rsidRDefault="00F14C1E" w:rsidP="00D773D3">
      <w:pPr>
        <w:jc w:val="left"/>
        <w:rPr>
          <w:rFonts w:eastAsia="Times New Roman"/>
          <w:b/>
          <w:sz w:val="40"/>
          <w:szCs w:val="40"/>
        </w:rPr>
      </w:pPr>
      <w:bookmarkStart w:id="0" w:name="_Toc433875234"/>
      <w:bookmarkStart w:id="1" w:name="_Toc441241803"/>
      <w:r>
        <w:rPr>
          <w:rFonts w:eastAsia="Times New Roman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-239300</wp:posOffset>
            </wp:positionH>
            <wp:positionV relativeFrom="paragraph">
              <wp:posOffset>21429</wp:posOffset>
            </wp:positionV>
            <wp:extent cx="9206836" cy="968991"/>
            <wp:effectExtent l="19050" t="0" r="0" b="0"/>
            <wp:wrapNone/>
            <wp:docPr id="1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836" cy="9689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C1E" w:rsidRDefault="00F14C1E" w:rsidP="00D773D3">
      <w:pPr>
        <w:jc w:val="left"/>
        <w:rPr>
          <w:rFonts w:eastAsia="Times New Roman"/>
          <w:b/>
          <w:sz w:val="40"/>
          <w:szCs w:val="40"/>
        </w:rPr>
      </w:pPr>
    </w:p>
    <w:bookmarkEnd w:id="0"/>
    <w:bookmarkEnd w:id="1"/>
    <w:p w:rsidR="00D773D3" w:rsidRPr="004F0E14" w:rsidRDefault="00631670" w:rsidP="004F0E14">
      <w:pPr>
        <w:pStyle w:val="Nagwek1"/>
      </w:pPr>
      <w:r>
        <w:t>Kryteria Wyboru Projektów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993" w:hanging="567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formalne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</w:t>
      </w:r>
      <w:r>
        <w:rPr>
          <w:rFonts w:asciiTheme="minorHAnsi" w:hAnsiTheme="minorHAnsi" w:cs="Arial"/>
          <w:sz w:val="22"/>
          <w:szCs w:val="18"/>
        </w:rPr>
        <w:t>wspólne dla wszystkich działań</w:t>
      </w:r>
      <w:r w:rsidRPr="00E26619">
        <w:rPr>
          <w:rFonts w:asciiTheme="minorHAnsi" w:hAnsiTheme="minorHAnsi" w:cs="Arial"/>
          <w:sz w:val="22"/>
          <w:szCs w:val="18"/>
        </w:rPr>
        <w:t>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kryteria dotyczące pomocy publicznej – 0/1;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kryteria dotyczące dokumentów środowiskowych – 0/1;</w:t>
      </w:r>
    </w:p>
    <w:p w:rsidR="00D773D3" w:rsidRPr="00E26619" w:rsidRDefault="00D773D3" w:rsidP="00D773D3">
      <w:pPr>
        <w:pStyle w:val="ZnakZnakZnakZnakZnakZnakZnakZnak"/>
        <w:numPr>
          <w:ilvl w:val="1"/>
          <w:numId w:val="10"/>
        </w:numPr>
        <w:spacing w:line="360" w:lineRule="auto"/>
        <w:ind w:left="1418" w:hanging="567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dodatkowe kryteria formalne dla inwestycji znajdujących się w Planie inwestycyjnym dla subregionów objętych OSI problemowymi (RIT) – 0/1;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dostępu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dla danego typu operacji (dla projektów konkursowych i pozakonkursowych);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Regulamin konkursu wskazuje, które kryteria oceniane są w ramach oceny formalnej, a które w ramach oceny merytorycznej.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ogólne</w:t>
      </w:r>
      <w:r w:rsidRPr="00E26619">
        <w:rPr>
          <w:rFonts w:asciiTheme="minorHAnsi" w:hAnsiTheme="minorHAnsi" w:cs="Arial"/>
          <w:sz w:val="22"/>
          <w:szCs w:val="18"/>
        </w:rPr>
        <w:t xml:space="preserve"> – 0/1 – wspólne dla wszystkich działań;</w:t>
      </w:r>
    </w:p>
    <w:p w:rsidR="00D773D3" w:rsidRPr="00E26619" w:rsidRDefault="00D773D3" w:rsidP="00D773D3">
      <w:pPr>
        <w:pStyle w:val="ZnakZnakZnakZnakZnakZnakZnakZnak"/>
        <w:tabs>
          <w:tab w:val="left" w:pos="720"/>
          <w:tab w:val="left" w:pos="851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konkursowych w Regulaminie konkursu wskazane jest, które kryteria podlegają ocenie w ramach danego konkursu.</w:t>
      </w:r>
    </w:p>
    <w:p w:rsidR="00D773D3" w:rsidRPr="00E26619" w:rsidRDefault="00D773D3" w:rsidP="00D773D3">
      <w:pPr>
        <w:pStyle w:val="ZnakZnakZnakZnakZnakZnakZnakZnak"/>
        <w:tabs>
          <w:tab w:val="left" w:pos="720"/>
          <w:tab w:val="left" w:pos="851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projektów pozakonkursowych określenie kryteriów wyboru projektów znajduje się w Wezwaniu do złożenia wniosku w trybie pozakonkursowym.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szczegółowe</w:t>
      </w:r>
      <w:r w:rsidRPr="00E26619">
        <w:rPr>
          <w:rFonts w:asciiTheme="minorHAnsi" w:hAnsiTheme="minorHAnsi" w:cs="Arial"/>
          <w:sz w:val="22"/>
          <w:szCs w:val="18"/>
        </w:rPr>
        <w:t xml:space="preserve"> – punktowe dla projektów konkursowych;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lastRenderedPageBreak/>
        <w:t>W przypadku projektów konkursowych przyjmuje się, że projekt spełnia kryteria merytoryczne punktowe w sytuacji, gdy suma punktów uzyskanych podczas oceny kryteriów merytorycznych stanowi, co najmniej 60% maksymalnej możliwej do uzyskania liczby punktów.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709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uzasadnionych przypadkach, jeżeli wynika to z Regulaminu konkursu, dopuszcza się odstąpienie od wymogu 60% limitu punktów dopuszczającego projekt do dalszej oceny.</w:t>
      </w:r>
    </w:p>
    <w:p w:rsidR="00D773D3" w:rsidRPr="00E26619" w:rsidRDefault="00D773D3" w:rsidP="00D773D3">
      <w:pPr>
        <w:pStyle w:val="ZnakZnakZnakZnakZnakZnakZnakZnak"/>
        <w:numPr>
          <w:ilvl w:val="0"/>
          <w:numId w:val="9"/>
        </w:numPr>
        <w:tabs>
          <w:tab w:val="left" w:pos="720"/>
        </w:tabs>
        <w:spacing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611F07">
        <w:rPr>
          <w:rFonts w:asciiTheme="minorHAnsi" w:hAnsiTheme="minorHAnsi" w:cs="Arial"/>
          <w:b/>
          <w:sz w:val="22"/>
          <w:szCs w:val="18"/>
        </w:rPr>
        <w:t>kryteria merytoryczne szczegółowe zgodności ze strategią ZIT WOF</w:t>
      </w:r>
      <w:r w:rsidRPr="00E26619">
        <w:rPr>
          <w:rFonts w:asciiTheme="minorHAnsi" w:hAnsiTheme="minorHAnsi" w:cs="Arial"/>
          <w:sz w:val="22"/>
          <w:szCs w:val="18"/>
        </w:rPr>
        <w:t xml:space="preserve"> – punktowe dla projektów konkursowych, 0/1 dla projektów pozakonkursowych;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stosowania kryteriów punktowych kryteria: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 xml:space="preserve"> - stanowią minimum 30 % ogólnej liczby punktów możliwych do uzyskania na etapie oceny merytorycznej</w:t>
      </w:r>
      <w:r>
        <w:rPr>
          <w:rFonts w:asciiTheme="minorHAnsi" w:hAnsiTheme="minorHAnsi" w:cs="Arial"/>
          <w:sz w:val="22"/>
          <w:szCs w:val="18"/>
        </w:rPr>
        <w:br/>
      </w:r>
      <w:r w:rsidRPr="00E26619">
        <w:rPr>
          <w:rFonts w:asciiTheme="minorHAnsi" w:hAnsiTheme="minorHAnsi" w:cs="Arial"/>
          <w:sz w:val="22"/>
          <w:szCs w:val="18"/>
        </w:rPr>
        <w:t>oraz</w:t>
      </w:r>
      <w:r>
        <w:rPr>
          <w:rFonts w:asciiTheme="minorHAnsi" w:hAnsiTheme="minorHAnsi" w:cs="Arial"/>
          <w:sz w:val="22"/>
          <w:szCs w:val="18"/>
        </w:rPr>
        <w:br/>
      </w:r>
      <w:r w:rsidRPr="00E26619">
        <w:rPr>
          <w:rFonts w:asciiTheme="minorHAnsi" w:hAnsiTheme="minorHAnsi" w:cs="Arial"/>
          <w:sz w:val="22"/>
          <w:szCs w:val="18"/>
        </w:rPr>
        <w:t>- przyjmuje się, że projekt spełnia ww. kryteria w sytuacji, gdy projekt uzyska przynajmniej 50% maksymalnej liczby punktów.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line="360" w:lineRule="auto"/>
        <w:ind w:left="851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 kryteriów 0/1 uzyskanie przez projekt pozytywnej oceny oznacza spełnienie wszystkich 0/1 kryteriów.</w:t>
      </w:r>
    </w:p>
    <w:p w:rsidR="00D773D3" w:rsidRPr="00E26619" w:rsidRDefault="00D773D3" w:rsidP="00D773D3">
      <w:pPr>
        <w:pStyle w:val="ZnakZnakZnakZnakZnakZnakZnakZnak"/>
        <w:tabs>
          <w:tab w:val="left" w:pos="720"/>
        </w:tabs>
        <w:spacing w:before="480" w:after="120" w:line="360" w:lineRule="auto"/>
        <w:ind w:left="1276" w:hanging="862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zależności od specyfiki konkursu stosowane są wybrane pozycje kryteriów.</w:t>
      </w:r>
    </w:p>
    <w:p w:rsidR="00D773D3" w:rsidRPr="00E26619" w:rsidRDefault="00D773D3" w:rsidP="00D773D3">
      <w:pPr>
        <w:pStyle w:val="ZnakZnakZnakZnakZnakZnakZnakZnak"/>
        <w:tabs>
          <w:tab w:val="left" w:pos="426"/>
        </w:tabs>
        <w:spacing w:after="120" w:line="360" w:lineRule="auto"/>
        <w:ind w:left="426"/>
        <w:rPr>
          <w:rFonts w:asciiTheme="minorHAnsi" w:hAnsiTheme="minorHAnsi" w:cs="Arial"/>
          <w:sz w:val="22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W przypadku, gdy ocenie podlega projekt pozakonkursowy, zapis dotyczący Regulaminu konkursu odnosi się do Wezwania do złożenia wniosku w trybie pozakonkursowym.</w:t>
      </w:r>
    </w:p>
    <w:p w:rsidR="00D773D3" w:rsidRPr="00F704F8" w:rsidRDefault="00D773D3" w:rsidP="00D773D3">
      <w:pPr>
        <w:pStyle w:val="ZnakZnakZnakZnakZnakZnakZnakZnak"/>
        <w:tabs>
          <w:tab w:val="left" w:pos="720"/>
        </w:tabs>
        <w:ind w:left="709"/>
        <w:contextualSpacing/>
        <w:rPr>
          <w:rFonts w:asciiTheme="minorHAnsi" w:hAnsiTheme="minorHAnsi" w:cs="Arial"/>
          <w:szCs w:val="18"/>
        </w:rPr>
      </w:pPr>
      <w:r w:rsidRPr="00E26619">
        <w:rPr>
          <w:rFonts w:asciiTheme="minorHAnsi" w:hAnsiTheme="minorHAnsi" w:cs="Arial"/>
          <w:sz w:val="22"/>
          <w:szCs w:val="18"/>
        </w:rPr>
        <w:t> </w:t>
      </w:r>
      <w:r w:rsidRPr="00F704F8">
        <w:rPr>
          <w:rFonts w:asciiTheme="minorHAnsi" w:hAnsiTheme="minorHAnsi" w:cs="Arial"/>
          <w:sz w:val="22"/>
          <w:szCs w:val="18"/>
        </w:rPr>
        <w:br w:type="page"/>
      </w:r>
    </w:p>
    <w:p w:rsidR="00D773D3" w:rsidRDefault="00D773D3" w:rsidP="004F0E14">
      <w:pPr>
        <w:pStyle w:val="Nagwek1"/>
        <w:rPr>
          <w:lang w:eastAsia="pl-PL"/>
        </w:rPr>
      </w:pPr>
      <w:bookmarkStart w:id="2" w:name="_Toc457226059"/>
      <w:bookmarkStart w:id="3" w:name="_Toc457376809"/>
      <w:bookmarkStart w:id="4" w:name="_Toc457381385"/>
      <w:bookmarkStart w:id="5" w:name="_Toc462739267"/>
      <w:r w:rsidRPr="00442C92">
        <w:rPr>
          <w:lang w:eastAsia="pl-PL"/>
        </w:rPr>
        <w:lastRenderedPageBreak/>
        <w:t xml:space="preserve">1. Kryteria </w:t>
      </w:r>
      <w:r w:rsidRPr="00A96AA2">
        <w:t>formalne</w:t>
      </w:r>
      <w:bookmarkEnd w:id="2"/>
      <w:bookmarkEnd w:id="3"/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639"/>
        <w:gridCol w:w="7428"/>
        <w:gridCol w:w="1117"/>
        <w:gridCol w:w="1541"/>
      </w:tblGrid>
      <w:tr w:rsidR="00D773D3" w:rsidRPr="00611F07" w:rsidTr="0098308D">
        <w:trPr>
          <w:tblHeader/>
        </w:trPr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Lp.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Nazwa kryterium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Opis kryterium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Punktacja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611F07">
              <w:rPr>
                <w:rFonts w:eastAsia="Calibri" w:cs="Times New Roman"/>
                <w:b/>
                <w:szCs w:val="22"/>
              </w:rPr>
              <w:t>Możliwość uzupełnienia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 ramach kryterium weryfikowane będzie, czy łącznie zostały spełnione następujące elementy: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wszystkie wymagane pola wniosku o dofinansowanie zostały wypełnione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pola opisowe wypełniono treścią dającą się interpretować znaczeniowo, zapisaną w języku polskim;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oświadczenia znajdujące się we wniosku o dofinansowanie;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załączniki do wniosku o dofinansowanie są aktualne i sporządzone na właściwych formularzach/we właściwej formie;</w:t>
            </w:r>
          </w:p>
          <w:p w:rsidR="00D773D3" w:rsidRPr="00611F07" w:rsidRDefault="00D773D3" w:rsidP="00D773D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2.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NIE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3.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wnioskodawcy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ind w:left="238" w:hanging="23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D773D3" w:rsidRPr="00611F07" w:rsidRDefault="00D773D3" w:rsidP="00D773D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czy kategoria wnioskodawcy jest zgodna listą podmiotów uprawnionych do ubiegania się o dofinansowanie wskazaną w Regulaminie konkursu </w:t>
            </w:r>
            <w:r w:rsidRPr="00611F07">
              <w:rPr>
                <w:rFonts w:eastAsia="Calibri" w:cs="Times New Roman"/>
              </w:rPr>
              <w:lastRenderedPageBreak/>
              <w:t>lub Wykazem Projektów Pozakonkursowych EFRR RPO WM 2014-2020 (w przypadku projektów pozakonkursowych);</w:t>
            </w:r>
          </w:p>
          <w:p w:rsidR="00D773D3" w:rsidRPr="00611F07" w:rsidRDefault="00D773D3" w:rsidP="00D773D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projektu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 czy: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celami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>;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typ projektu jest zgodny z typem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 xml:space="preserve">; </w:t>
            </w:r>
          </w:p>
          <w:p w:rsidR="00D773D3" w:rsidRPr="00611F07" w:rsidRDefault="00D773D3" w:rsidP="00D773D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projekt jest zgodny z przepisami art. 65 ust. 6 i art. 125 ust. 3 lit. e) i f) Rozporządzenia Parlamentu Europejskiego i Rady (UE) nr 1303/2013 z dnia 17 grudnia 2013 r. tj.: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projekt nie został zakończony w rozumieniu art. 65 ust. 6,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611F07">
              <w:rPr>
                <w:rFonts w:eastAsia="Calibri" w:cs="Times New Roman"/>
                <w:vertAlign w:val="superscript"/>
              </w:rPr>
              <w:footnoteReference w:id="1"/>
            </w:r>
            <w:r w:rsidRPr="00611F07">
              <w:rPr>
                <w:rFonts w:eastAsia="Calibri" w:cs="Times New Roman"/>
              </w:rPr>
              <w:t xml:space="preserve"> (art. 125 ust. 3 lit. e),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lit. f).</w:t>
            </w:r>
          </w:p>
          <w:p w:rsidR="00D773D3" w:rsidRPr="00611F07" w:rsidRDefault="00D773D3" w:rsidP="0098308D">
            <w:pPr>
              <w:spacing w:after="0" w:line="240" w:lineRule="auto"/>
              <w:ind w:left="780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  <w:bCs/>
                <w:iCs/>
              </w:rPr>
              <w:lastRenderedPageBreak/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5.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wydatków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ramach kryterium weryfikowana jest potencjalna </w:t>
            </w:r>
            <w:proofErr w:type="spellStart"/>
            <w:r w:rsidRPr="00611F07">
              <w:rPr>
                <w:rFonts w:eastAsia="Calibri" w:cs="Times New Roman"/>
              </w:rPr>
              <w:t>kwalifikowalność</w:t>
            </w:r>
            <w:proofErr w:type="spellEnd"/>
            <w:r w:rsidRPr="00611F07">
              <w:rPr>
                <w:rFonts w:eastAsia="Calibri" w:cs="Times New Roman"/>
              </w:rPr>
              <w:t xml:space="preserve"> wydatków 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6.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Regulaminem Konkursu / formularzem projektu pozakonkursowego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7.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Specyficzne kryteria dotyczące danego działania/</w:t>
            </w:r>
            <w:proofErr w:type="spellStart"/>
            <w:r w:rsidRPr="00611F07">
              <w:rPr>
                <w:rFonts w:eastAsia="Calibri" w:cs="Times New Roman"/>
              </w:rPr>
              <w:t>poddziałania</w:t>
            </w:r>
            <w:proofErr w:type="spellEnd"/>
            <w:r w:rsidRPr="00611F07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ramach kryterium ocenie podlega: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kategoria interwencji jest zgodna  z Regulaminem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okres realizacji projektu jest zgodny z Regulaminem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uwzględnił limity dotyczące: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 maksymalnego poziomu dofinansowania;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minimalnego wkładu własnego;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- minimalnej/maksymalnej wartości projektu</w:t>
            </w:r>
          </w:p>
          <w:p w:rsidR="00D773D3" w:rsidRPr="00611F07" w:rsidRDefault="00D773D3" w:rsidP="0098308D">
            <w:pPr>
              <w:spacing w:after="0" w:line="240" w:lineRule="auto"/>
              <w:ind w:left="720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określone w SZOOP lub Regulaminie konkursu;</w:t>
            </w:r>
          </w:p>
          <w:p w:rsidR="00D773D3" w:rsidRPr="00611F07" w:rsidRDefault="00D773D3" w:rsidP="00D773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8.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jeżeli:</w:t>
            </w:r>
          </w:p>
          <w:p w:rsidR="00D773D3" w:rsidRPr="00611F07" w:rsidRDefault="00D773D3" w:rsidP="00D773D3">
            <w:pPr>
              <w:numPr>
                <w:ilvl w:val="0"/>
                <w:numId w:val="7"/>
              </w:numPr>
              <w:spacing w:after="0" w:line="240" w:lineRule="auto"/>
              <w:ind w:left="248" w:hanging="24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D773D3" w:rsidRPr="00611F07" w:rsidRDefault="00D773D3" w:rsidP="00D773D3">
            <w:pPr>
              <w:numPr>
                <w:ilvl w:val="0"/>
                <w:numId w:val="7"/>
              </w:numPr>
              <w:spacing w:after="0" w:line="240" w:lineRule="auto"/>
              <w:ind w:left="238" w:hanging="238"/>
              <w:contextualSpacing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w konkursach, w których dotacja dla projektu stanowi pomoc publiczną/pomoc de </w:t>
            </w:r>
            <w:proofErr w:type="spellStart"/>
            <w:r w:rsidRPr="00611F07">
              <w:rPr>
                <w:rFonts w:eastAsia="Calibri" w:cs="Times New Roman"/>
              </w:rPr>
              <w:t>minimis</w:t>
            </w:r>
            <w:proofErr w:type="spellEnd"/>
            <w:r w:rsidRPr="00611F07">
              <w:rPr>
                <w:rFonts w:eastAsia="Calibri" w:cs="Times New Roman"/>
              </w:rPr>
              <w:t xml:space="preserve">, ocena dokonywana w oparciu o kryteria 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9.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Ocena kryterium dokonywana jest w oparciu o kryteria szczegółowe  zawarte w tabeli nr 1.2. 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10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równości szans kobiet i mężczyzn</w:t>
            </w:r>
            <w:r w:rsidRPr="00611F07" w:rsidDel="009E37B9">
              <w:rPr>
                <w:rFonts w:eastAsia="Calibri" w:cs="Times New Roman"/>
              </w:rPr>
              <w:t xml:space="preserve">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 wnioskodawca  wykaże pozytywny wpływ projektu na zasadę równości szans kobiet i mężczyzn.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równości szans kobiet i mężczyzn.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11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Zgodność projektu z zasadą równości szans i niedyskryminacji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Kryterium uważa się za spełnione jeśli wnioskodawca wykaże pozytywny wpływ projektu na zasadę równości szans i niedyskryminacji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  <w:r w:rsidRPr="00611F07">
              <w:rPr>
                <w:rFonts w:eastAsia="Calibri" w:cs="Times New Roman"/>
              </w:rPr>
              <w:t>.</w:t>
            </w:r>
          </w:p>
          <w:p w:rsidR="00D773D3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Dopuszcza się, w uzasadnionych przypadkach, neutralny wpływ projektu na zasadę równości szans i niedyskryminacji, w tym dostępności dla osób z </w:t>
            </w:r>
            <w:proofErr w:type="spellStart"/>
            <w:r w:rsidRPr="00611F07">
              <w:rPr>
                <w:rFonts w:eastAsia="Calibri" w:cs="Times New Roman"/>
              </w:rPr>
              <w:t>niepełnosprawnościami</w:t>
            </w:r>
            <w:proofErr w:type="spellEnd"/>
            <w:r w:rsidRPr="00611F07">
              <w:rPr>
                <w:rFonts w:eastAsia="Calibri" w:cs="Times New Roman"/>
              </w:rPr>
              <w:t xml:space="preserve">. 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12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Zgodność projektu z zasadą zrównoważonego rozwoju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Kryterium uważa się za spełnione jeśli wnioskodawca wykaże pozytywny wpływ projektu na  zasadę zrównoważonego rozwoju.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  <w:tr w:rsidR="00D773D3" w:rsidRPr="00611F07" w:rsidTr="0098308D"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 xml:space="preserve">13. 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D773D3" w:rsidRPr="00611F07" w:rsidRDefault="00D773D3" w:rsidP="0098308D">
            <w:pPr>
              <w:spacing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 xml:space="preserve"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611F07">
              <w:rPr>
                <w:rFonts w:eastAsia="Calibri" w:cs="Times New Roman"/>
              </w:rPr>
              <w:t>pkt</w:t>
            </w:r>
            <w:proofErr w:type="spellEnd"/>
            <w:r w:rsidRPr="00611F07">
              <w:rPr>
                <w:rFonts w:eastAsia="Calibri" w:cs="Times New Roman"/>
              </w:rPr>
              <w:t xml:space="preserve"> 7 rozporządzenia PE i Rady (UE) nr 1303/2013, której całkowite koszty </w:t>
            </w:r>
            <w:proofErr w:type="spellStart"/>
            <w:r w:rsidRPr="00611F07">
              <w:rPr>
                <w:rFonts w:eastAsia="Calibri" w:cs="Times New Roman"/>
              </w:rPr>
              <w:t>kwalifikowalne</w:t>
            </w:r>
            <w:proofErr w:type="spellEnd"/>
            <w:r w:rsidRPr="00611F07">
              <w:rPr>
                <w:rFonts w:eastAsia="Calibri" w:cs="Times New Roman"/>
              </w:rPr>
              <w:t xml:space="preserve"> przekraczają kwotę 75 mln EUR.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D773D3" w:rsidRPr="00611F07" w:rsidRDefault="00D773D3" w:rsidP="0098308D">
            <w:pPr>
              <w:spacing w:after="0" w:line="240" w:lineRule="auto"/>
              <w:rPr>
                <w:rFonts w:eastAsia="Calibri" w:cs="Times New Roman"/>
              </w:rPr>
            </w:pPr>
            <w:r w:rsidRPr="00611F07">
              <w:rPr>
                <w:rFonts w:eastAsia="Calibri" w:cs="Times New Roman"/>
              </w:rPr>
              <w:t>TAK</w:t>
            </w:r>
          </w:p>
        </w:tc>
      </w:tr>
    </w:tbl>
    <w:p w:rsidR="00D773D3" w:rsidRDefault="00D773D3" w:rsidP="00D773D3">
      <w:pPr>
        <w:rPr>
          <w:b/>
        </w:rPr>
      </w:pPr>
      <w:r>
        <w:rPr>
          <w:b/>
        </w:rPr>
        <w:lastRenderedPageBreak/>
        <w:br w:type="page"/>
      </w:r>
    </w:p>
    <w:p w:rsidR="00D773D3" w:rsidRPr="00442C92" w:rsidRDefault="00D773D3" w:rsidP="004F0E14">
      <w:pPr>
        <w:pStyle w:val="Nagwek1"/>
      </w:pPr>
      <w:bookmarkStart w:id="6" w:name="_Toc457226061"/>
      <w:bookmarkStart w:id="7" w:name="_Toc457376811"/>
      <w:bookmarkStart w:id="8" w:name="_Toc457381387"/>
      <w:bookmarkStart w:id="9" w:name="_Toc462739268"/>
      <w:r w:rsidRPr="00442C92">
        <w:lastRenderedPageBreak/>
        <w:t>1.1 Kryteria dotyczące pomocy publicznej</w:t>
      </w:r>
      <w:bookmarkEnd w:id="6"/>
      <w:bookmarkEnd w:id="7"/>
      <w:bookmarkEnd w:id="8"/>
      <w:bookmarkEnd w:id="9"/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D773D3" w:rsidRPr="00F704F8" w:rsidTr="0098308D">
        <w:trPr>
          <w:tblHeader/>
        </w:trPr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L.p.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proofErr w:type="spellStart"/>
            <w:r w:rsidRPr="00F704F8">
              <w:t>Kwalifikowalność</w:t>
            </w:r>
            <w:proofErr w:type="spellEnd"/>
            <w:r w:rsidRPr="00F704F8">
              <w:t xml:space="preserve"> Wnioskodawcy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F704F8">
              <w:t>minimis</w:t>
            </w:r>
            <w:proofErr w:type="spellEnd"/>
            <w:r w:rsidRPr="00F704F8"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2.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Cel i przedmiot projektu zgodny z przeznaczeniem pomocy/kategorią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3.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 xml:space="preserve">Potencjalna </w:t>
            </w:r>
            <w:proofErr w:type="spellStart"/>
            <w:r w:rsidRPr="00F704F8">
              <w:t>kwalifikowalność</w:t>
            </w:r>
            <w:proofErr w:type="spellEnd"/>
            <w:r w:rsidRPr="00F704F8">
              <w:t xml:space="preserve"> wydatków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r w:rsidRPr="00F704F8">
              <w:rPr>
                <w:iCs/>
              </w:rPr>
              <w:t>W ramach kryterium ocenie podlegać będzie czy wydatki ujęte jako kwalifikowane w projekcie spełniają warunki </w:t>
            </w:r>
            <w:proofErr w:type="spellStart"/>
            <w:r w:rsidRPr="00F704F8">
              <w:rPr>
                <w:iCs/>
              </w:rPr>
              <w:t>kwalifikowalności</w:t>
            </w:r>
            <w:proofErr w:type="spellEnd"/>
            <w:r w:rsidRPr="00F704F8">
              <w:rPr>
                <w:iCs/>
              </w:rPr>
              <w:t xml:space="preserve">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4.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Intensywność i maksymalna wartość pomocy oraz p</w:t>
            </w:r>
            <w:r>
              <w:t>rocentowy poziom dofinansowania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W ramach kryterium weryfikowane będzie w szczególności: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>weryfikacja dopuszczalnej intensywności pomocy oraz zasad kumulacji pomocy;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 xml:space="preserve">weryfikacja dopuszczalnego pułapu wsparcia oraz zasad kumulacji w ramach pomocy de </w:t>
            </w:r>
            <w:proofErr w:type="spellStart"/>
            <w:r w:rsidRPr="00F704F8">
              <w:t>minimis</w:t>
            </w:r>
            <w:proofErr w:type="spellEnd"/>
            <w:r w:rsidRPr="00F704F8">
              <w:t>;</w:t>
            </w:r>
          </w:p>
          <w:p w:rsidR="00D773D3" w:rsidRPr="00F704F8" w:rsidRDefault="00D773D3" w:rsidP="00D773D3">
            <w:pPr>
              <w:pStyle w:val="Akapitzlist0"/>
              <w:numPr>
                <w:ilvl w:val="0"/>
                <w:numId w:val="14"/>
              </w:numPr>
              <w:spacing w:after="0" w:line="240" w:lineRule="auto"/>
              <w:ind w:left="360" w:hanging="284"/>
            </w:pPr>
            <w:r w:rsidRPr="00F704F8"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c>
          <w:tcPr>
            <w:tcW w:w="251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5.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line="240" w:lineRule="auto"/>
            </w:pPr>
            <w:r w:rsidRPr="00F704F8">
              <w:t>Dodatkowe obowiązki warunkujące zgodność wsparcia w świetle postanowień podstaw prawnych udzielania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line="240" w:lineRule="auto"/>
            </w:pPr>
            <w:r w:rsidRPr="00F704F8"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D773D3" w:rsidRPr="00F704F8" w:rsidRDefault="00D773D3" w:rsidP="00D773D3">
      <w:pPr>
        <w:rPr>
          <w:b/>
          <w:bCs/>
          <w:sz w:val="24"/>
          <w:szCs w:val="24"/>
          <w:lang w:eastAsia="pl-PL"/>
        </w:rPr>
      </w:pPr>
      <w:r w:rsidRPr="00F704F8">
        <w:rPr>
          <w:b/>
          <w:bCs/>
          <w:sz w:val="24"/>
          <w:szCs w:val="24"/>
          <w:lang w:eastAsia="pl-PL"/>
        </w:rPr>
        <w:br w:type="page"/>
      </w:r>
    </w:p>
    <w:p w:rsidR="00D773D3" w:rsidRPr="00442C92" w:rsidRDefault="00D773D3" w:rsidP="004F0E14">
      <w:pPr>
        <w:pStyle w:val="Nagwek1"/>
      </w:pPr>
      <w:bookmarkStart w:id="10" w:name="_Toc457226062"/>
      <w:bookmarkStart w:id="11" w:name="_Toc457376812"/>
      <w:bookmarkStart w:id="12" w:name="_Toc457381388"/>
      <w:bookmarkStart w:id="13" w:name="_Toc462739269"/>
      <w:r w:rsidRPr="00442C92">
        <w:lastRenderedPageBreak/>
        <w:t>1.2 Kryteria dotyczące dokumentów środowiskowych</w:t>
      </w:r>
      <w:bookmarkEnd w:id="10"/>
      <w:bookmarkEnd w:id="11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D773D3" w:rsidRPr="00F704F8" w:rsidTr="0098308D">
        <w:trPr>
          <w:tblHeader/>
        </w:trPr>
        <w:tc>
          <w:tcPr>
            <w:tcW w:w="2595" w:type="pct"/>
            <w:gridSpan w:val="3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Ocena</w:t>
            </w:r>
          </w:p>
        </w:tc>
      </w:tr>
      <w:tr w:rsidR="00D773D3" w:rsidRPr="00F704F8" w:rsidTr="0098308D">
        <w:tc>
          <w:tcPr>
            <w:tcW w:w="704" w:type="pct"/>
            <w:vMerge w:val="restar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projekt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podlega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procedurze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zakresie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OOŚ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Tak/Nie</w:t>
            </w:r>
          </w:p>
        </w:tc>
        <w:tc>
          <w:tcPr>
            <w:tcW w:w="628" w:type="pct"/>
            <w:vMerge w:val="restar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TAK</w:t>
            </w: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przedłożone zostały wszystkie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wymagane załączniki w zakresie OOŚ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Przedsięwzięcia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wszystkich wymaganych załączników i dokumentacji dotyczących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223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Kompletność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wypełnienia poszczególnych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 xml:space="preserve">punktów 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Formularzu do wniosku o dofinansowanie w zakresie OOŚ. Treść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Formularza do wniosku o dofinansowanie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Zaświadczenia organu odpowiedzialnego za monitorowanie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obszarów Natura 2000 musi być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zgodna z informacjami zawartymi we wniosku dokumentacji środowiskowej oraz postanowieniem uzgadniającym decyzji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budowlaną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lub z tą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decyzją.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075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procedura OOŚ została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przeprowadzona poprawnie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Zgodność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 Dyrektywami OOŚ, Siedliskową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 Ptasią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przepisami krajowymi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języku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niespecjalistycznym, itp.)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  <w:tr w:rsidR="00D773D3" w:rsidRPr="00F704F8" w:rsidTr="0098308D">
        <w:trPr>
          <w:trHeight w:val="1791"/>
        </w:trPr>
        <w:tc>
          <w:tcPr>
            <w:tcW w:w="704" w:type="pct"/>
            <w:vMerge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</w:p>
        </w:tc>
        <w:tc>
          <w:tcPr>
            <w:tcW w:w="628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NIE</w:t>
            </w:r>
          </w:p>
        </w:tc>
        <w:tc>
          <w:tcPr>
            <w:tcW w:w="1263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Wniosek nie podlega dalszej weryfikacji w ramach poprawności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procedury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>
              <w:rPr>
                <w:rFonts w:cs="TimesNewRomanPSMT"/>
                <w:lang w:eastAsia="pl-PL"/>
              </w:rPr>
              <w:br/>
            </w:r>
            <w:r w:rsidRPr="00F704F8">
              <w:rPr>
                <w:lang w:eastAsia="pl-PL"/>
              </w:rPr>
              <w:t>i jest kierowany do dalszej oceny</w:t>
            </w:r>
          </w:p>
        </w:tc>
        <w:tc>
          <w:tcPr>
            <w:tcW w:w="1942" w:type="pct"/>
            <w:vAlign w:val="center"/>
          </w:tcPr>
          <w:p w:rsidR="00D773D3" w:rsidRPr="00F704F8" w:rsidRDefault="00D773D3" w:rsidP="0098308D">
            <w:pPr>
              <w:autoSpaceDE w:val="0"/>
              <w:autoSpaceDN w:val="0"/>
              <w:adjustRightInd w:val="0"/>
              <w:spacing w:line="240" w:lineRule="auto"/>
              <w:rPr>
                <w:rFonts w:cs="TimesNewRomanPSMT"/>
                <w:lang w:eastAsia="pl-PL"/>
              </w:rPr>
            </w:pPr>
            <w:r w:rsidRPr="00F704F8">
              <w:rPr>
                <w:lang w:eastAsia="pl-PL"/>
              </w:rPr>
              <w:t>Przedsięwzięcia nie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Formularza do wniosku o dofinansowanie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wypełnianego (w sposób prawidłowy) w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ograniczonym zakresie.</w:t>
            </w:r>
          </w:p>
          <w:p w:rsidR="00D773D3" w:rsidRPr="00F704F8" w:rsidRDefault="00D773D3" w:rsidP="0098308D">
            <w:pPr>
              <w:autoSpaceDE w:val="0"/>
              <w:autoSpaceDN w:val="0"/>
              <w:adjustRightInd w:val="0"/>
              <w:spacing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Zaświadczenie organu odpowiedzialnego za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monitorowanie obszarów Natura 2000 jest wymagane w przypadku realizacji przedsięwzięć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infrastrukturalnych.</w:t>
            </w:r>
          </w:p>
        </w:tc>
        <w:tc>
          <w:tcPr>
            <w:tcW w:w="463" w:type="pct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Pr="00442C92" w:rsidRDefault="00D773D3" w:rsidP="004F0E14">
      <w:pPr>
        <w:pStyle w:val="Nagwek1"/>
      </w:pPr>
      <w:bookmarkStart w:id="14" w:name="_Toc457226064"/>
      <w:bookmarkStart w:id="15" w:name="_Toc457376814"/>
      <w:bookmarkStart w:id="16" w:name="_Toc457381390"/>
      <w:bookmarkStart w:id="17" w:name="_Toc462739270"/>
      <w:r w:rsidRPr="00442C92">
        <w:lastRenderedPageBreak/>
        <w:t>1.4.</w:t>
      </w:r>
      <w:r w:rsidRPr="00442C92">
        <w:tab/>
        <w:t>Dodatkowe kryteria formalne dla inwestycji znajdujących się w planie inwestycyjnym dla subregionów objętych OSI problemowymi (RIT)</w:t>
      </w:r>
      <w:bookmarkEnd w:id="14"/>
      <w:bookmarkEnd w:id="15"/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26"/>
        <w:gridCol w:w="6019"/>
        <w:gridCol w:w="2799"/>
        <w:gridCol w:w="1390"/>
      </w:tblGrid>
      <w:tr w:rsidR="00D773D3" w:rsidRPr="00F704F8" w:rsidTr="0098308D">
        <w:trPr>
          <w:tblHeader/>
        </w:trPr>
        <w:tc>
          <w:tcPr>
            <w:tcW w:w="56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Lp.</w:t>
            </w:r>
          </w:p>
        </w:tc>
        <w:tc>
          <w:tcPr>
            <w:tcW w:w="3226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Nazwa kryterium</w:t>
            </w:r>
          </w:p>
        </w:tc>
        <w:tc>
          <w:tcPr>
            <w:tcW w:w="601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279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  <w:tc>
          <w:tcPr>
            <w:tcW w:w="139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Możliwość uzupełnienia</w:t>
            </w:r>
          </w:p>
        </w:tc>
      </w:tr>
      <w:tr w:rsidR="00D773D3" w:rsidRPr="00F704F8" w:rsidTr="0098308D">
        <w:tc>
          <w:tcPr>
            <w:tcW w:w="56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3226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rPr>
                <w:rFonts w:cs="Arial"/>
                <w:lang w:eastAsia="pl-PL"/>
              </w:rPr>
              <w:t>Obszar realizacji projektu</w:t>
            </w:r>
          </w:p>
        </w:tc>
        <w:tc>
          <w:tcPr>
            <w:tcW w:w="6019" w:type="dxa"/>
            <w:vAlign w:val="center"/>
          </w:tcPr>
          <w:p w:rsidR="00D773D3" w:rsidRPr="00F704F8" w:rsidRDefault="00D773D3" w:rsidP="0098308D">
            <w:pPr>
              <w:spacing w:after="0"/>
            </w:pPr>
            <w:r w:rsidRPr="00F704F8">
              <w:rPr>
                <w:rFonts w:cs="Arial"/>
                <w:lang w:eastAsia="pl-PL"/>
              </w:rPr>
              <w:t xml:space="preserve">Weryfikacji podlega, czy obszar realizacji projektu jest zgodny </w:t>
            </w:r>
            <w:r w:rsidRPr="00F704F8">
              <w:rPr>
                <w:rFonts w:eastAsia="Times New Roman" w:cs="Arial"/>
                <w:lang w:eastAsia="pl-PL"/>
              </w:rPr>
              <w:t xml:space="preserve">z Planem inwestycyjnym dla subregionów objętych OSI problemowymi (RIT) </w:t>
            </w:r>
          </w:p>
        </w:tc>
        <w:tc>
          <w:tcPr>
            <w:tcW w:w="2799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0/1</w:t>
            </w:r>
          </w:p>
        </w:tc>
        <w:tc>
          <w:tcPr>
            <w:tcW w:w="1390" w:type="dxa"/>
            <w:vAlign w:val="center"/>
          </w:tcPr>
          <w:p w:rsidR="00D773D3" w:rsidRPr="00F704F8" w:rsidRDefault="00D773D3" w:rsidP="0098308D">
            <w:pPr>
              <w:spacing w:after="0" w:line="240" w:lineRule="auto"/>
            </w:pPr>
            <w:r w:rsidRPr="00F704F8">
              <w:t>NIE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Default="00D773D3" w:rsidP="004F0E14">
      <w:pPr>
        <w:pStyle w:val="Nagwek1"/>
        <w:rPr>
          <w:lang w:eastAsia="pl-PL"/>
        </w:rPr>
      </w:pPr>
      <w:bookmarkStart w:id="18" w:name="_Toc457226065"/>
      <w:bookmarkStart w:id="19" w:name="_Toc457376815"/>
      <w:bookmarkStart w:id="20" w:name="_Toc457381391"/>
      <w:bookmarkStart w:id="21" w:name="_Toc462739271"/>
      <w:r w:rsidRPr="00442C92">
        <w:rPr>
          <w:lang w:eastAsia="pl-PL"/>
        </w:rPr>
        <w:lastRenderedPageBreak/>
        <w:t>2. Kryteria dostępu</w:t>
      </w:r>
      <w:bookmarkEnd w:id="18"/>
      <w:bookmarkEnd w:id="19"/>
      <w:bookmarkEnd w:id="20"/>
      <w:bookmarkEnd w:id="21"/>
    </w:p>
    <w:p w:rsidR="00D773D3" w:rsidRDefault="00D773D3" w:rsidP="004F0E14">
      <w:pPr>
        <w:pStyle w:val="Nagwek2"/>
      </w:pPr>
      <w:bookmarkStart w:id="22" w:name="_Toc457226106"/>
      <w:bookmarkStart w:id="23" w:name="_Toc457376856"/>
      <w:bookmarkStart w:id="24" w:name="_Toc457381430"/>
      <w:bookmarkStart w:id="25" w:name="_Toc462739274"/>
      <w:r>
        <w:t>Oś priorytetowa VI – Jakość życia</w:t>
      </w:r>
      <w:bookmarkEnd w:id="22"/>
      <w:bookmarkEnd w:id="23"/>
      <w:bookmarkEnd w:id="24"/>
      <w:bookmarkEnd w:id="25"/>
    </w:p>
    <w:p w:rsidR="00D773D3" w:rsidRDefault="00D773D3" w:rsidP="004F0E14">
      <w:pPr>
        <w:pStyle w:val="Nagwek3"/>
      </w:pPr>
      <w:bookmarkStart w:id="26" w:name="_Toc457226109"/>
      <w:bookmarkStart w:id="27" w:name="_Toc457376859"/>
      <w:bookmarkStart w:id="28" w:name="_Toc457381433"/>
      <w:bookmarkStart w:id="29" w:name="_Toc462739275"/>
      <w:r w:rsidRPr="0021019C">
        <w:t xml:space="preserve">Działanie 6.2 </w:t>
      </w:r>
      <w:r>
        <w:t xml:space="preserve">- </w:t>
      </w:r>
      <w:r w:rsidRPr="0021019C">
        <w:t>Rewitalizacja obszarów zmarginalizowanych</w:t>
      </w:r>
      <w:r>
        <w:t xml:space="preserve"> </w:t>
      </w:r>
      <w:r w:rsidRPr="0021019C">
        <w:t xml:space="preserve">w ramach planów inwestycyjnych dla subregionów objętych OSI problemowymi (Typ projektu: </w:t>
      </w:r>
      <w:r>
        <w:t>„</w:t>
      </w:r>
      <w:r w:rsidRPr="0021019C">
        <w:t xml:space="preserve">Rozwój infrastruktury technicznej na obszarach </w:t>
      </w:r>
      <w:proofErr w:type="spellStart"/>
      <w:r w:rsidRPr="0021019C">
        <w:t>rewitalizowanych</w:t>
      </w:r>
      <w:proofErr w:type="spellEnd"/>
      <w:r w:rsidRPr="0021019C">
        <w:t xml:space="preserve"> w celu ich aktywizacji społecznej i gospodarczej</w:t>
      </w:r>
      <w:r>
        <w:t>”</w:t>
      </w:r>
      <w:r w:rsidRPr="0021019C">
        <w:t>)</w:t>
      </w:r>
      <w:bookmarkEnd w:id="26"/>
      <w:bookmarkEnd w:id="27"/>
      <w:bookmarkEnd w:id="28"/>
      <w:bookmarkEnd w:id="29"/>
    </w:p>
    <w:p w:rsidR="00D773D3" w:rsidRDefault="00D773D3" w:rsidP="00D773D3">
      <w:pPr>
        <w:pStyle w:val="Bezodstpw"/>
      </w:pPr>
      <w:r w:rsidRPr="00681E05">
        <w:t>Kryteria wyboru projektów przyjęte przez Komitet Monitorujący RPO WM na  X</w:t>
      </w:r>
      <w:r>
        <w:t>V</w:t>
      </w:r>
      <w:r w:rsidRPr="00681E05">
        <w:t xml:space="preserve"> posiedzeniu w dniu </w:t>
      </w:r>
      <w:r>
        <w:t>15 lipca</w:t>
      </w:r>
      <w:r w:rsidRPr="00681E05">
        <w:t xml:space="preserve"> 2016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976"/>
        <w:gridCol w:w="10641"/>
        <w:gridCol w:w="1117"/>
      </w:tblGrid>
      <w:tr w:rsidR="00D773D3" w:rsidRPr="0021019C" w:rsidTr="0098308D">
        <w:trPr>
          <w:tblHeader/>
        </w:trPr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Lp.</w:t>
            </w:r>
          </w:p>
        </w:tc>
        <w:tc>
          <w:tcPr>
            <w:tcW w:w="658" w:type="pct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Nazwa kryterium</w:t>
            </w:r>
          </w:p>
        </w:tc>
        <w:tc>
          <w:tcPr>
            <w:tcW w:w="3804" w:type="pct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Opis kryterium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spacing w:after="0"/>
              <w:jc w:val="center"/>
              <w:rPr>
                <w:rFonts w:eastAsia="Calibri" w:cs="Calibri"/>
                <w:b/>
              </w:rPr>
            </w:pPr>
            <w:r w:rsidRPr="0021019C">
              <w:rPr>
                <w:rFonts w:eastAsia="Calibri" w:cs="Calibri"/>
                <w:b/>
              </w:rPr>
              <w:t>Punktacja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 xml:space="preserve">1. 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Program rewitalizacji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00000"/>
              </w:rPr>
              <w:t xml:space="preserve">Zgodnie z RPO WM 2014 - 2020, projekt znajduje się </w:t>
            </w:r>
            <w:r w:rsidRPr="0021019C">
              <w:rPr>
                <w:rFonts w:eastAsia="Calibri" w:cs="Calibri"/>
                <w:color w:val="0D0D0D"/>
                <w:lang w:eastAsia="pl-PL"/>
              </w:rPr>
              <w:t>na liście projektów głównych lub przedsięwzięć uzupełniających / pozostałych w obowiązującym właściwym miejscowo programie rewitalizacji.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41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Ww. program wpisany jest do Wykazu programów rewitalizacji województwa mazowieckiego.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2.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Plan inwestycyjny dla subregionów objętych OSI problemowymi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00000"/>
              </w:rPr>
            </w:pPr>
            <w:r w:rsidRPr="0021019C">
              <w:rPr>
                <w:rFonts w:eastAsia="Calibri" w:cs="Calibri"/>
              </w:rPr>
              <w:t>Zgodnie z RPO WM 2014-2020, ocenie podlegać będzie czy projekt został ujęty w Planach inwestycyjnych dla subregionów objętych OSI problemowymi (ciechanowskim, ostrołęckim, płockim, radomskim, siedleckim), zatwierdzonych przez IZ RPO WM 2014-2020.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Calibri"/>
              </w:rPr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t>3.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 w:cs="Arial"/>
                <w:color w:val="0D0D0D"/>
                <w:lang w:eastAsia="pl-PL"/>
              </w:rPr>
            </w:pPr>
            <w:r w:rsidRPr="0021019C">
              <w:rPr>
                <w:rFonts w:eastAsia="Calibri" w:cs="Calibri"/>
              </w:rPr>
              <w:t xml:space="preserve">Projekty wyłonione w ramach konkursu architektonicznego, architektoniczno-urbanistycznego lub </w:t>
            </w:r>
            <w:r w:rsidRPr="0021019C">
              <w:rPr>
                <w:rFonts w:eastAsia="Calibri" w:cs="Calibri"/>
              </w:rPr>
              <w:lastRenderedPageBreak/>
              <w:t xml:space="preserve">urbanistycznego – </w:t>
            </w:r>
            <w:r w:rsidRPr="0021019C">
              <w:rPr>
                <w:rFonts w:eastAsia="Calibri" w:cs="Calibri"/>
              </w:rPr>
              <w:br/>
              <w:t>o wartości dofinansowania powyżej 10 mln zł.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</w:rPr>
              <w:lastRenderedPageBreak/>
              <w:t>Zgodnie z RPO WM 2014-2020, w</w:t>
            </w:r>
            <w:r w:rsidRPr="0021019C">
              <w:rPr>
                <w:rFonts w:eastAsia="Calibri" w:cs="Calibri"/>
                <w:color w:val="0D0D0D"/>
                <w:lang w:eastAsia="pl-PL"/>
              </w:rPr>
              <w:t xml:space="preserve"> ramach kryterium ocenie podlegać będzie czy projekt dotyczący zagospodarowania przestrzeni (przestrzeni publicznych, projektów urbanistycznych dot. przekształcania lub rekultywacji terenu, terenów zielonych i parków) oraz obiektów kubaturowych (w tym zwłaszcza obiektów użyteczności publicznej - obiektów zabytkowych oraz o funkcji rekreacyjnej, turystycznej, administracyjnej), o wartości powyżej 10 mln zł, został wyłoniony w konkursie architektonicznym, architektoniczno- urbanistycznym lub urbanistycznym.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ind w:left="141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lastRenderedPageBreak/>
              <w:t>Ocena przedsięwzięć realizowanych na podstawie konkursu architektonicznego, architektoniczno-urbanistycznego lub urbanistycznego będzie weryfikowana poprzez załączone do wniosku oświadczenie o realizacji inwestycji wyłonionej w konkursie architektonicznym, architektoniczno-urbanistycznym lub urbanistycznym.</w:t>
            </w:r>
          </w:p>
          <w:p w:rsidR="00D773D3" w:rsidRDefault="00D773D3" w:rsidP="0098308D">
            <w:pPr>
              <w:spacing w:after="0" w:line="240" w:lineRule="auto"/>
              <w:ind w:left="167" w:right="256"/>
              <w:jc w:val="left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 xml:space="preserve">Konkurs architektoniczny nie musi dotyczyć całego przedsięwzięcia. 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lastRenderedPageBreak/>
              <w:t>0/1</w:t>
            </w:r>
          </w:p>
        </w:tc>
      </w:tr>
      <w:tr w:rsidR="00D773D3" w:rsidRPr="0021019C" w:rsidTr="0098308D">
        <w:tc>
          <w:tcPr>
            <w:tcW w:w="168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</w:rPr>
            </w:pPr>
            <w:r w:rsidRPr="0021019C">
              <w:rPr>
                <w:rFonts w:eastAsia="Calibri" w:cs="Calibri"/>
              </w:rPr>
              <w:lastRenderedPageBreak/>
              <w:t xml:space="preserve">4. </w:t>
            </w:r>
          </w:p>
        </w:tc>
        <w:tc>
          <w:tcPr>
            <w:tcW w:w="658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Calibri"/>
              </w:rPr>
            </w:pPr>
            <w:r w:rsidRPr="0021019C">
              <w:rPr>
                <w:rFonts w:eastAsia="Calibri" w:cs="Times New Roman"/>
                <w:lang w:eastAsia="pl-PL"/>
              </w:rPr>
              <w:t>Komplementarność</w:t>
            </w:r>
            <w:r>
              <w:rPr>
                <w:rFonts w:eastAsia="Calibri" w:cs="Times New Roman"/>
                <w:lang w:eastAsia="pl-PL"/>
              </w:rPr>
              <w:br/>
            </w:r>
            <w:r w:rsidRPr="0021019C">
              <w:rPr>
                <w:rFonts w:eastAsia="Calibri" w:cs="Times New Roman"/>
                <w:lang w:eastAsia="pl-PL"/>
              </w:rPr>
              <w:t>projektu z</w:t>
            </w:r>
            <w:r>
              <w:rPr>
                <w:rFonts w:eastAsia="Calibri" w:cs="Times New Roman"/>
                <w:lang w:eastAsia="pl-PL"/>
              </w:rPr>
              <w:br/>
            </w:r>
            <w:r w:rsidRPr="0021019C">
              <w:rPr>
                <w:rFonts w:eastAsia="Calibri" w:cs="Times New Roman"/>
                <w:lang w:eastAsia="pl-PL"/>
              </w:rPr>
              <w:t>przedsięwzięciami</w:t>
            </w:r>
            <w:r>
              <w:rPr>
                <w:rFonts w:eastAsia="Calibri" w:cs="Times New Roman"/>
                <w:lang w:eastAsia="pl-PL"/>
              </w:rPr>
              <w:t xml:space="preserve"> </w:t>
            </w:r>
            <w:r w:rsidRPr="0021019C">
              <w:rPr>
                <w:rFonts w:eastAsia="Calibri" w:cs="Calibri"/>
              </w:rPr>
              <w:t xml:space="preserve">społecznymi </w:t>
            </w:r>
          </w:p>
        </w:tc>
        <w:tc>
          <w:tcPr>
            <w:tcW w:w="3804" w:type="pct"/>
            <w:vAlign w:val="center"/>
          </w:tcPr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29" w:right="142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 xml:space="preserve">Zgodnie z RPO WM 2014-2020, ocenie podlegać będzie czy projekt jest komplementarny z projektami społecznymi. Wnioskodawca wykazał komplementarność i powiązanie projektu z działaniami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współfinasowanymi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 xml:space="preserve"> ze środków EFS lub równoważnymi finansowanymi z innych źródeł, realizowanymi przez niego lub inne podmioty zaangażowane w projekt.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line="240" w:lineRule="auto"/>
              <w:ind w:left="130" w:right="142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Realizacja, projektów społecznych powiązanych z inwestycją wspieraną ze środków Działania 6.2 RPO WM 2014-2020 musi trwać min. 3 lata w ciągu 5 lat od rzeczowego zakończenia projektu.</w:t>
            </w:r>
          </w:p>
          <w:p w:rsidR="00D773D3" w:rsidRDefault="00D773D3" w:rsidP="0098308D">
            <w:pPr>
              <w:autoSpaceDE w:val="0"/>
              <w:autoSpaceDN w:val="0"/>
              <w:adjustRightInd w:val="0"/>
              <w:spacing w:after="0"/>
              <w:ind w:left="142" w:right="142" w:hanging="28"/>
              <w:jc w:val="left"/>
              <w:rPr>
                <w:rFonts w:eastAsia="Calibri" w:cs="Calibri"/>
                <w:color w:val="0D0D0D"/>
                <w:lang w:eastAsia="pl-PL"/>
              </w:rPr>
            </w:pPr>
            <w:r w:rsidRPr="0021019C">
              <w:rPr>
                <w:rFonts w:eastAsia="Calibri" w:cs="Calibri"/>
                <w:color w:val="0D0D0D"/>
                <w:lang w:eastAsia="pl-PL"/>
              </w:rPr>
              <w:t>W uzasadnionych przypadkach, popartych analizą zapotrzebowania (np.</w:t>
            </w:r>
            <w:r w:rsidRPr="0021019C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 w:rsidRPr="0021019C">
              <w:rPr>
                <w:rFonts w:eastAsia="Calibri" w:cs="Calibri"/>
                <w:color w:val="0D0D0D"/>
                <w:lang w:eastAsia="pl-PL"/>
              </w:rPr>
              <w:t xml:space="preserve">ewaluacji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on-going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>/</w:t>
            </w:r>
            <w:r w:rsidRPr="0021019C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19C">
              <w:rPr>
                <w:rFonts w:eastAsia="Calibri" w:cs="Calibri"/>
                <w:color w:val="0D0D0D"/>
                <w:lang w:eastAsia="pl-PL"/>
              </w:rPr>
              <w:t>mid-term</w:t>
            </w:r>
            <w:proofErr w:type="spellEnd"/>
            <w:r w:rsidRPr="0021019C">
              <w:rPr>
                <w:rFonts w:eastAsia="Calibri" w:cs="Calibri"/>
                <w:color w:val="0D0D0D"/>
                <w:lang w:eastAsia="pl-PL"/>
              </w:rPr>
              <w:t>/bieżącej) dopuszcza się możliwość dostosowania zakresu projektu społecznego do bieżących potrzeb.</w:t>
            </w:r>
          </w:p>
        </w:tc>
        <w:tc>
          <w:tcPr>
            <w:tcW w:w="370" w:type="pct"/>
            <w:vAlign w:val="center"/>
          </w:tcPr>
          <w:p w:rsidR="00D773D3" w:rsidRPr="0021019C" w:rsidRDefault="00D773D3" w:rsidP="009830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21019C">
              <w:rPr>
                <w:rFonts w:eastAsia="Calibri" w:cs="Times New Roman"/>
              </w:rPr>
              <w:t>0/1</w:t>
            </w:r>
          </w:p>
        </w:tc>
      </w:tr>
    </w:tbl>
    <w:p w:rsidR="00D773D3" w:rsidRDefault="00D773D3" w:rsidP="00D773D3">
      <w:pPr>
        <w:rPr>
          <w:b/>
          <w:i/>
          <w:iCs/>
          <w:smallCaps/>
          <w:spacing w:val="1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73D3" w:rsidRPr="00442C92" w:rsidRDefault="00D773D3" w:rsidP="004F0E14">
      <w:pPr>
        <w:pStyle w:val="Nagwek1"/>
        <w:rPr>
          <w:lang w:eastAsia="pl-PL"/>
        </w:rPr>
      </w:pPr>
      <w:bookmarkStart w:id="30" w:name="_Toc457226117"/>
      <w:bookmarkStart w:id="31" w:name="_Toc457376867"/>
      <w:bookmarkStart w:id="32" w:name="_Toc457381441"/>
      <w:bookmarkStart w:id="33" w:name="_Toc457987716"/>
      <w:bookmarkStart w:id="34" w:name="_Toc462739276"/>
      <w:r w:rsidRPr="00442C92">
        <w:rPr>
          <w:lang w:eastAsia="pl-PL"/>
        </w:rPr>
        <w:lastRenderedPageBreak/>
        <w:t>3.Kryteria merytoryczne ogólne</w:t>
      </w:r>
      <w:bookmarkEnd w:id="30"/>
      <w:bookmarkEnd w:id="31"/>
      <w:bookmarkEnd w:id="32"/>
      <w:bookmarkEnd w:id="33"/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952"/>
        <w:gridCol w:w="9530"/>
        <w:gridCol w:w="1132"/>
      </w:tblGrid>
      <w:tr w:rsidR="00D773D3" w:rsidRPr="003A7CBF" w:rsidTr="0098308D">
        <w:tc>
          <w:tcPr>
            <w:tcW w:w="213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Lp.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Nazwa kryterium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Opis kryterium</w:t>
            </w:r>
          </w:p>
        </w:tc>
        <w:tc>
          <w:tcPr>
            <w:tcW w:w="398" w:type="pct"/>
          </w:tcPr>
          <w:p w:rsidR="00D773D3" w:rsidRPr="003A7CBF" w:rsidRDefault="00D773D3" w:rsidP="0098308D">
            <w:pPr>
              <w:keepNext/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3A7CBF">
              <w:rPr>
                <w:rFonts w:eastAsia="Calibri" w:cs="Times New Roman"/>
                <w:b/>
                <w:szCs w:val="22"/>
              </w:rPr>
              <w:t>Punktacja</w:t>
            </w:r>
          </w:p>
        </w:tc>
      </w:tr>
      <w:tr w:rsidR="00D773D3" w:rsidRPr="003A7CBF" w:rsidTr="0098308D">
        <w:trPr>
          <w:trHeight w:val="2396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1.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finansowa 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line="240" w:lineRule="auto"/>
              <w:ind w:left="720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podlegać będzie: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założenia do analizy finansowej i ekonomicznej są poprawne i rzetelne;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harmonogram rzeczowo-finansowy projektu umożliwia prawidłową i terminową realizację przedsięwzięcia;</w:t>
            </w:r>
          </w:p>
          <w:p w:rsidR="00D773D3" w:rsidRPr="003A7CBF" w:rsidRDefault="00D773D3" w:rsidP="00D773D3">
            <w:pPr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Wpływ na wykonalność finansową korekty finansowej będącej wynikiem przeprowadzonej i zakończonej do dnia przeprowadzania oceny kontroli prawidłowości realizacji zamówień w ramach projektu (jeśli dotyczy).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D773D3" w:rsidRPr="003A7CBF" w:rsidTr="0098308D">
        <w:trPr>
          <w:trHeight w:val="1510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2.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Wykonalność organizacyjna (kadrowa) techniczna </w:t>
            </w:r>
            <w:r>
              <w:rPr>
                <w:rFonts w:eastAsia="Calibri" w:cs="Times New Roman"/>
                <w:szCs w:val="22"/>
              </w:rPr>
              <w:br/>
            </w:r>
            <w:r w:rsidRPr="003A7CBF">
              <w:rPr>
                <w:rFonts w:eastAsia="Calibri" w:cs="Times New Roman"/>
                <w:szCs w:val="22"/>
              </w:rPr>
              <w:t>i technologiczna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W ramach kryterium ocenie będzie podlegać, czy przyjęte założenia potwierdz</w:t>
            </w:r>
            <w:r>
              <w:rPr>
                <w:rFonts w:eastAsia="Calibri" w:cs="Times New Roman"/>
                <w:szCs w:val="22"/>
              </w:rPr>
              <w:t>ają, że projekt jest wykonalny: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technicznie; 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technologicznie;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organizacyjnie. </w:t>
            </w:r>
          </w:p>
          <w:p w:rsidR="00D773D3" w:rsidRPr="003A7CBF" w:rsidRDefault="00D773D3" w:rsidP="00D773D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  <w:tr w:rsidR="00D773D3" w:rsidRPr="003A7CBF" w:rsidTr="0098308D">
        <w:trPr>
          <w:trHeight w:val="1934"/>
        </w:trPr>
        <w:tc>
          <w:tcPr>
            <w:tcW w:w="213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3.</w:t>
            </w:r>
          </w:p>
        </w:tc>
        <w:tc>
          <w:tcPr>
            <w:tcW w:w="1038" w:type="pct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Efektywność</w:t>
            </w:r>
            <w:r w:rsidRPr="003A7CBF">
              <w:rPr>
                <w:rFonts w:eastAsia="Calibri" w:cs="Times New Roman"/>
                <w:szCs w:val="22"/>
              </w:rPr>
              <w:br/>
              <w:t>projektu</w:t>
            </w:r>
          </w:p>
        </w:tc>
        <w:tc>
          <w:tcPr>
            <w:tcW w:w="3351" w:type="pct"/>
          </w:tcPr>
          <w:p w:rsidR="00D773D3" w:rsidRPr="003A7CBF" w:rsidRDefault="00D773D3" w:rsidP="0098308D">
            <w:pPr>
              <w:spacing w:after="0" w:line="240" w:lineRule="auto"/>
              <w:rPr>
                <w:rFonts w:eastAsia="Calibri" w:cs="Calibri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 xml:space="preserve">W ramach kryterium ocenie będzie podlegać </w:t>
            </w:r>
            <w:r w:rsidRPr="003A7CBF">
              <w:rPr>
                <w:rFonts w:eastAsia="Calibri" w:cs="Calibri"/>
                <w:szCs w:val="22"/>
              </w:rPr>
              <w:t>czy przyjęte założenia pozwolą na osiągnięcie wskaźników na zaplanowanym poziomie.</w:t>
            </w:r>
          </w:p>
          <w:p w:rsidR="00D773D3" w:rsidRPr="003A7CBF" w:rsidRDefault="00D773D3" w:rsidP="0098308D">
            <w:pPr>
              <w:tabs>
                <w:tab w:val="left" w:pos="252"/>
              </w:tabs>
              <w:suppressAutoHyphens/>
              <w:spacing w:after="0" w:line="240" w:lineRule="auto"/>
              <w:ind w:left="-14"/>
              <w:rPr>
                <w:rFonts w:eastAsia="Times New Roman" w:cs="Calibri"/>
                <w:szCs w:val="22"/>
                <w:lang w:eastAsia="ar-SA"/>
              </w:rPr>
            </w:pPr>
            <w:r w:rsidRPr="003A7CBF">
              <w:rPr>
                <w:rFonts w:eastAsia="Times New Roman" w:cs="Times New Roman"/>
                <w:szCs w:val="24"/>
                <w:lang w:eastAsia="ar-SA"/>
              </w:rPr>
              <w:t xml:space="preserve">Jednoczenie w ramach kryterium ocenie podlegać będzie realizacja koncepcji uniwersalnego projektowania w odniesieniu do zapisów Wytycznych zakresie realizacji zasady równości szans i niedyskryminacji, w tym dostępności dla osób z </w:t>
            </w:r>
            <w:proofErr w:type="spellStart"/>
            <w:r w:rsidRPr="003A7CBF">
              <w:rPr>
                <w:rFonts w:eastAsia="Times New Roman" w:cs="Times New Roman"/>
                <w:szCs w:val="24"/>
                <w:lang w:eastAsia="ar-SA"/>
              </w:rPr>
              <w:t>niepełnosprawnościami</w:t>
            </w:r>
            <w:proofErr w:type="spellEnd"/>
            <w:r w:rsidRPr="003A7CBF">
              <w:rPr>
                <w:rFonts w:eastAsia="Times New Roman" w:cs="Times New Roman"/>
                <w:szCs w:val="24"/>
                <w:lang w:eastAsia="ar-SA"/>
              </w:rPr>
              <w:t xml:space="preserve"> oraz zasady równości szans kobiet i mężczyzn w ramach fundu</w:t>
            </w:r>
            <w:r>
              <w:rPr>
                <w:rFonts w:eastAsia="Times New Roman" w:cs="Times New Roman"/>
                <w:szCs w:val="24"/>
                <w:lang w:eastAsia="ar-SA"/>
              </w:rPr>
              <w:t>szy unijnych na lata 2014-2020.</w:t>
            </w:r>
          </w:p>
        </w:tc>
        <w:tc>
          <w:tcPr>
            <w:tcW w:w="398" w:type="pct"/>
            <w:vAlign w:val="center"/>
          </w:tcPr>
          <w:p w:rsidR="00D773D3" w:rsidRPr="003A7CBF" w:rsidRDefault="00D773D3" w:rsidP="009830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2"/>
              </w:rPr>
            </w:pPr>
            <w:r w:rsidRPr="003A7CBF">
              <w:rPr>
                <w:rFonts w:eastAsia="Calibri" w:cs="Times New Roman"/>
                <w:szCs w:val="22"/>
              </w:rPr>
              <w:t>0/1</w:t>
            </w:r>
          </w:p>
        </w:tc>
      </w:tr>
    </w:tbl>
    <w:p w:rsidR="00D773D3" w:rsidRDefault="00D773D3" w:rsidP="00D773D3">
      <w:pPr>
        <w:rPr>
          <w:rFonts w:cs="Calibri"/>
          <w:b/>
          <w:szCs w:val="24"/>
          <w:lang w:eastAsia="pl-PL"/>
        </w:rPr>
      </w:pPr>
      <w:r>
        <w:rPr>
          <w:rFonts w:cs="Calibri"/>
          <w:b/>
          <w:szCs w:val="24"/>
          <w:lang w:eastAsia="pl-PL"/>
        </w:rPr>
        <w:br w:type="page"/>
      </w:r>
    </w:p>
    <w:p w:rsidR="00D773D3" w:rsidRPr="004F0E14" w:rsidRDefault="00D773D3" w:rsidP="004F0E14">
      <w:pPr>
        <w:pStyle w:val="Nagwek1"/>
        <w:rPr>
          <w:szCs w:val="28"/>
          <w:lang w:eastAsia="pl-PL"/>
        </w:rPr>
      </w:pPr>
      <w:bookmarkStart w:id="35" w:name="_Toc457226118"/>
      <w:bookmarkStart w:id="36" w:name="_Toc457376868"/>
      <w:bookmarkStart w:id="37" w:name="_Toc457381442"/>
      <w:bookmarkStart w:id="38" w:name="_Toc462739277"/>
      <w:r w:rsidRPr="004F0E14">
        <w:rPr>
          <w:lang w:eastAsia="pl-PL"/>
        </w:rPr>
        <w:lastRenderedPageBreak/>
        <w:t>4. Kryteria merytoryczne szczegółowe</w:t>
      </w:r>
      <w:bookmarkStart w:id="39" w:name="_Toc457226162"/>
      <w:bookmarkStart w:id="40" w:name="_Toc457376912"/>
      <w:bookmarkStart w:id="41" w:name="_Toc457381484"/>
      <w:bookmarkStart w:id="42" w:name="_Toc462739278"/>
      <w:bookmarkEnd w:id="35"/>
      <w:bookmarkEnd w:id="36"/>
      <w:bookmarkEnd w:id="37"/>
      <w:bookmarkEnd w:id="38"/>
      <w:r w:rsidR="004F0E14" w:rsidRPr="004F0E14">
        <w:rPr>
          <w:lang w:eastAsia="pl-PL"/>
        </w:rPr>
        <w:t xml:space="preserve"> </w:t>
      </w:r>
      <w:r w:rsidRPr="004F0E14">
        <w:t>Oś priorytetowa VI – Jakość życia</w:t>
      </w:r>
      <w:bookmarkEnd w:id="39"/>
      <w:bookmarkEnd w:id="40"/>
      <w:bookmarkEnd w:id="41"/>
      <w:bookmarkEnd w:id="42"/>
    </w:p>
    <w:p w:rsidR="00D773D3" w:rsidRPr="004F0E14" w:rsidRDefault="00D773D3" w:rsidP="004F0E14">
      <w:pPr>
        <w:pStyle w:val="Nagwek2"/>
      </w:pPr>
      <w:bookmarkStart w:id="43" w:name="_Toc457226164"/>
      <w:bookmarkStart w:id="44" w:name="_Toc457376914"/>
      <w:bookmarkStart w:id="45" w:name="_Toc457381486"/>
      <w:bookmarkStart w:id="46" w:name="_Toc462739279"/>
      <w:r w:rsidRPr="004F0E14">
        <w:t>Działanie 6.2 – Rewitalizacja obszarów zmarginalizowanych</w:t>
      </w:r>
      <w:bookmarkEnd w:id="43"/>
      <w:bookmarkEnd w:id="44"/>
      <w:bookmarkEnd w:id="45"/>
      <w:bookmarkEnd w:id="46"/>
    </w:p>
    <w:p w:rsidR="006B3580" w:rsidRPr="00CE0119" w:rsidRDefault="006B3580" w:rsidP="006B3580">
      <w:pPr>
        <w:pStyle w:val="Nagwek5"/>
        <w:rPr>
          <w:rFonts w:cs="Arial"/>
        </w:rPr>
      </w:pPr>
      <w:bookmarkStart w:id="47" w:name="_Toc457987764"/>
      <w:bookmarkStart w:id="48" w:name="_Toc462147127"/>
      <w:bookmarkStart w:id="49" w:name="_Toc472338738"/>
      <w:r w:rsidRPr="00CE0119">
        <w:rPr>
          <w:rFonts w:cs="Arial"/>
        </w:rPr>
        <w:t xml:space="preserve">Działanie 6.2 </w:t>
      </w:r>
      <w:r>
        <w:rPr>
          <w:rFonts w:cs="Arial"/>
        </w:rPr>
        <w:t>t</w:t>
      </w:r>
      <w:r w:rsidRPr="00CE0119">
        <w:rPr>
          <w:rFonts w:cs="Arial"/>
        </w:rPr>
        <w:t xml:space="preserve">yp projektu: „Rozwój infrastruktury technicznej na obszarach </w:t>
      </w:r>
      <w:proofErr w:type="spellStart"/>
      <w:r w:rsidRPr="00CE0119">
        <w:rPr>
          <w:rFonts w:cs="Arial"/>
        </w:rPr>
        <w:t>rewitalizowanych</w:t>
      </w:r>
      <w:proofErr w:type="spellEnd"/>
      <w:r w:rsidRPr="00CE0119">
        <w:rPr>
          <w:rFonts w:cs="Arial"/>
        </w:rPr>
        <w:t xml:space="preserve"> w celu ich aktywizacji społecznej i gospodarczej”</w:t>
      </w:r>
      <w:bookmarkEnd w:id="47"/>
      <w:bookmarkEnd w:id="48"/>
      <w:r>
        <w:rPr>
          <w:rFonts w:cs="Arial"/>
        </w:rPr>
        <w:t xml:space="preserve"> -</w:t>
      </w:r>
      <w:r w:rsidRPr="00180E3B">
        <w:rPr>
          <w:rFonts w:cs="Arial"/>
        </w:rPr>
        <w:t xml:space="preserve"> </w:t>
      </w:r>
      <w:r w:rsidRPr="00CE0119">
        <w:rPr>
          <w:rFonts w:cs="Arial"/>
        </w:rPr>
        <w:t>w ramach planów inwestycyjnych dla subregionów objętych OSI problemowymi</w:t>
      </w:r>
      <w:bookmarkEnd w:id="49"/>
    </w:p>
    <w:p w:rsidR="006B3580" w:rsidRPr="000A732E" w:rsidRDefault="006B3580" w:rsidP="006B3580">
      <w:pPr>
        <w:pStyle w:val="Bezodstpw"/>
      </w:pPr>
      <w:r w:rsidRPr="000A732E">
        <w:t xml:space="preserve">Kryteria wyboru projektów przyjęte przez Komitet Monitorujący RPO WM na </w:t>
      </w:r>
      <w:r w:rsidRPr="000A732E">
        <w:tab/>
        <w:t>X</w:t>
      </w:r>
      <w:r>
        <w:t>V posiedzeniu w dniu 15 lipca</w:t>
      </w:r>
      <w:r w:rsidRPr="000A732E">
        <w:t xml:space="preserve"> 2016 r.</w:t>
      </w:r>
      <w:r>
        <w:t xml:space="preserve"> wraz ze zmianą przyjętą przez Komitet Monitorujący RPO WM na XX posiedzeniu w dniu 13 stycznia 2017 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5"/>
        <w:gridCol w:w="2192"/>
        <w:gridCol w:w="5773"/>
        <w:gridCol w:w="3511"/>
        <w:gridCol w:w="2051"/>
      </w:tblGrid>
      <w:tr w:rsidR="006B3580" w:rsidRPr="00B0669D" w:rsidTr="00AA1B61">
        <w:trPr>
          <w:trHeight w:val="671"/>
          <w:tblHeader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580" w:rsidRPr="00B0669D" w:rsidRDefault="006B3580" w:rsidP="00AA1B61">
            <w:pPr>
              <w:jc w:val="center"/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L.p.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3580" w:rsidRPr="00B0669D" w:rsidRDefault="006B3580" w:rsidP="00AA1B61">
            <w:pPr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Kryterium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Opis kryterium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Punktacja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Maksymalna liczba punktów</w:t>
            </w:r>
          </w:p>
        </w:tc>
      </w:tr>
      <w:tr w:rsidR="006B3580" w:rsidRPr="00B0669D" w:rsidTr="00AA1B61">
        <w:trPr>
          <w:trHeight w:val="3295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b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000000"/>
              </w:rPr>
            </w:pPr>
            <w:r w:rsidRPr="00B0669D">
              <w:rPr>
                <w:rFonts w:eastAsia="Calibri" w:cs="Arial"/>
                <w:lang w:eastAsia="pl-PL"/>
              </w:rPr>
              <w:t>Zgodność projektu z programem rewitalizacji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 w:firstLine="1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</w:rPr>
              <w:t xml:space="preserve">Zgodnie z RPO WM 2014-2020, </w:t>
            </w:r>
            <w:r w:rsidRPr="00B0669D">
              <w:rPr>
                <w:rFonts w:eastAsia="Calibri" w:cs="Arial"/>
                <w:lang w:eastAsia="pl-PL"/>
              </w:rPr>
              <w:t>kryterium promuje zgodność projektu z obowiązującym (na dzień składania wniosku o dofinansowanie) właściwym miejscowo programem rewitalizacji.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4" w:right="142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>Program rewitalizacji musi znajdować się w Wykazie programów rewitalizacji województwa mazowieckiego.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 w:firstLine="1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>Projekt powinien być określony wskaźnikiem:</w:t>
            </w:r>
          </w:p>
          <w:p w:rsidR="006B3580" w:rsidRPr="00B0669D" w:rsidRDefault="006B3580" w:rsidP="00AA1B61">
            <w:pPr>
              <w:ind w:left="167"/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  <w:lang w:eastAsia="pl-PL"/>
              </w:rPr>
              <w:t>„Udział projektu w odniesieniu do obszaru objętego programem rewitalizacji [%]”.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707" w:right="141" w:hanging="567"/>
              <w:rPr>
                <w:rFonts w:eastAsia="Calibri" w:cs="Arial"/>
                <w:strike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12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- projekt znajduje się na liście projektów podstawowych w programie rewitalizacji </w:t>
            </w:r>
          </w:p>
          <w:p w:rsidR="006B3580" w:rsidRPr="00B0669D" w:rsidRDefault="006B3580" w:rsidP="00AA1B61">
            <w:pPr>
              <w:ind w:left="707" w:right="141" w:hanging="567"/>
              <w:rPr>
                <w:rFonts w:eastAsia="Calibri" w:cs="Arial"/>
                <w:strike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6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- projekt wskazany jest jako pozostałe przedsięwzięcia rewitalizacyjne w programie rewitalizacji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40" w:right="142"/>
              <w:rPr>
                <w:rFonts w:eastAsia="Calibri" w:cs="Arial"/>
              </w:rPr>
            </w:pPr>
            <w:r w:rsidRPr="00B0669D">
              <w:rPr>
                <w:rFonts w:eastAsia="Calibri" w:cs="Arial"/>
                <w:color w:val="000000"/>
              </w:rPr>
              <w:t>Punkty w ramach kryterium nie podlegają sumowaniu.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12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  <w:b/>
              </w:rPr>
            </w:pPr>
            <w:r w:rsidRPr="00B0669D">
              <w:rPr>
                <w:rFonts w:eastAsia="Calibri" w:cs="Arial"/>
              </w:rPr>
              <w:t>2</w:t>
            </w:r>
            <w:r w:rsidRPr="00B0669D">
              <w:rPr>
                <w:rFonts w:eastAsia="Calibri" w:cs="Arial"/>
                <w:b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Calibri" w:cs="Arial"/>
                <w:lang w:eastAsia="pl-PL"/>
              </w:rPr>
            </w:pPr>
            <w:r w:rsidRPr="00B0669D">
              <w:rPr>
                <w:rFonts w:eastAsia="Times New Roman" w:cs="Arial"/>
                <w:color w:val="0D0D0D"/>
                <w:lang w:eastAsia="pl-PL"/>
              </w:rPr>
              <w:t>Efektywność kosztowa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167"/>
              <w:rPr>
                <w:rFonts w:eastAsia="Calibri" w:cs="Arial"/>
                <w:color w:val="0D0D0D"/>
              </w:rPr>
            </w:pPr>
            <w:r w:rsidRPr="00B0669D">
              <w:rPr>
                <w:rFonts w:eastAsia="Calibri" w:cs="Arial"/>
              </w:rPr>
              <w:t>Zgodnie z RPO WM 2014-2020, w</w:t>
            </w:r>
            <w:r w:rsidRPr="00B0669D">
              <w:rPr>
                <w:rFonts w:eastAsia="Calibri" w:cs="Arial"/>
                <w:color w:val="0D0D0D"/>
              </w:rPr>
              <w:t xml:space="preserve">skaźnik: „Liczba wspartych obiektów infrastruktury zlokalizowanych na </w:t>
            </w:r>
            <w:proofErr w:type="spellStart"/>
            <w:r w:rsidRPr="00B0669D">
              <w:rPr>
                <w:rFonts w:eastAsia="Calibri" w:cs="Arial"/>
                <w:color w:val="0D0D0D"/>
              </w:rPr>
              <w:t>rewitalizowanych</w:t>
            </w:r>
            <w:proofErr w:type="spellEnd"/>
            <w:r w:rsidRPr="00B0669D">
              <w:rPr>
                <w:rFonts w:eastAsia="Calibri" w:cs="Arial"/>
                <w:color w:val="0D0D0D"/>
              </w:rPr>
              <w:t xml:space="preserve"> </w:t>
            </w:r>
            <w:r w:rsidRPr="00B0669D">
              <w:rPr>
                <w:rFonts w:eastAsia="Calibri" w:cs="Arial"/>
                <w:color w:val="0D0D0D"/>
              </w:rPr>
              <w:lastRenderedPageBreak/>
              <w:t>obszarach” jest ramą wykonania osi priorytetowej i będzie służył KE do oceny realizacji celów RPO WM.</w:t>
            </w:r>
          </w:p>
          <w:p w:rsidR="006B3580" w:rsidRPr="00B0669D" w:rsidRDefault="006B3580" w:rsidP="00AA1B61">
            <w:pPr>
              <w:spacing w:before="240"/>
              <w:ind w:left="164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Kryterium jest liczone zgodnie z poniższym wzorem: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spacing w:before="240"/>
              <w:ind w:left="164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>Wartość dofinansowania UE projektu (euro)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noProof/>
                <w:color w:val="000000"/>
                <w:lang w:eastAsia="pl-PL"/>
              </w:rPr>
              <w:drawing>
                <wp:anchor distT="4294967292" distB="4294967292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54610</wp:posOffset>
                  </wp:positionV>
                  <wp:extent cx="2362200" cy="45085"/>
                  <wp:effectExtent l="0" t="0" r="0" b="0"/>
                  <wp:wrapSquare wrapText="bothSides"/>
                  <wp:docPr id="7" name="Obraz 7" descr="kreska ułamkowa, nad kreską: &quot;Wartość dofinansowania UE projektu (euro)&quot;, pod kreską: &quot;Wartości docelowa wskaźnika w ramach projektu: Liczba wspartych obiektów infrastruktury zlokalizowanych na rewitalizowanych obszarach [szt.]”, wynik mniejszy równy 1 720 998 euro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Łącznik prosty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4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669D">
              <w:rPr>
                <w:rFonts w:eastAsia="Calibri" w:cs="Arial"/>
                <w:lang w:eastAsia="pl-PL"/>
              </w:rPr>
              <w:t xml:space="preserve"> &lt;= 1 720 998 </w:t>
            </w:r>
            <w:r w:rsidRPr="00B0669D">
              <w:rPr>
                <w:rFonts w:eastAsia="Calibri" w:cs="Arial"/>
              </w:rPr>
              <w:t>euro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/>
              <w:rPr>
                <w:rFonts w:eastAsia="Calibri" w:cs="Arial"/>
                <w:color w:val="0D0D0D"/>
                <w:lang w:eastAsia="pl-PL"/>
              </w:rPr>
            </w:pPr>
            <w:r w:rsidRPr="00B0669D">
              <w:rPr>
                <w:rFonts w:eastAsia="Calibri" w:cs="Arial"/>
                <w:color w:val="0D0D0D"/>
                <w:lang w:eastAsia="pl-PL"/>
              </w:rPr>
              <w:t>Wartości docelowa wskaźnika w ramach projektu: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/>
              <w:rPr>
                <w:rFonts w:eastAsia="Calibri" w:cs="Arial"/>
                <w:color w:val="0D0D0D"/>
                <w:lang w:eastAsia="pl-PL"/>
              </w:rPr>
            </w:pPr>
            <w:r w:rsidRPr="00B0669D">
              <w:rPr>
                <w:rFonts w:eastAsia="Calibri" w:cs="Arial"/>
                <w:color w:val="0D0D0D"/>
                <w:lang w:eastAsia="pl-PL"/>
              </w:rPr>
              <w:t xml:space="preserve">„Liczba wspartych obiektów infrastruktury zlokalizowanych na </w:t>
            </w:r>
            <w:proofErr w:type="spellStart"/>
            <w:r w:rsidRPr="00B0669D">
              <w:rPr>
                <w:rFonts w:eastAsia="Calibri" w:cs="Arial"/>
                <w:color w:val="0D0D0D"/>
                <w:lang w:eastAsia="pl-PL"/>
              </w:rPr>
              <w:t>rewitalizowanych</w:t>
            </w:r>
            <w:proofErr w:type="spellEnd"/>
            <w:r w:rsidRPr="00B0669D">
              <w:rPr>
                <w:rFonts w:eastAsia="Calibri" w:cs="Arial"/>
                <w:color w:val="0D0D0D"/>
                <w:lang w:eastAsia="pl-PL"/>
              </w:rPr>
              <w:t xml:space="preserve"> obszarach [szt.]”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4"/>
              <w:rPr>
                <w:rFonts w:eastAsia="Calibri" w:cs="Arial"/>
                <w:color w:val="0D0D0D"/>
                <w:lang w:eastAsia="pl-PL"/>
              </w:rPr>
            </w:pPr>
            <w:r w:rsidRPr="00B0669D">
              <w:rPr>
                <w:rFonts w:eastAsia="Calibri" w:cs="Arial"/>
                <w:color w:val="0D0D0D"/>
                <w:lang w:eastAsia="pl-PL"/>
              </w:rPr>
              <w:t>Jako obiekt infrastruktury należy rozumieć obiekt budowlany, kubaturowy, całoroczny, posiadający takie cechy jak kubatura, powierzchnia zabudowy, wysokość, długość, szerokość.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 w:firstLine="1"/>
              <w:rPr>
                <w:rFonts w:eastAsia="Calibri" w:cs="Arial"/>
                <w:color w:val="0D0D0D"/>
              </w:rPr>
            </w:pPr>
            <w:r w:rsidRPr="00B0669D">
              <w:rPr>
                <w:rFonts w:eastAsia="Calibri" w:cs="Arial"/>
                <w:color w:val="0D0D0D"/>
              </w:rPr>
              <w:t>Koszt należy przeliczyć kursem euro podanym w regulaminie konkursu.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 w:firstLine="1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color w:val="0D0D0D"/>
              </w:rPr>
              <w:t>Kryterium nie dotyczy obiektów małej architektury.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ind w:left="281"/>
              <w:rPr>
                <w:rFonts w:eastAsia="Calibri" w:cs="Arial"/>
                <w:color w:val="0D0D0D"/>
                <w:lang w:eastAsia="pl-PL"/>
              </w:rPr>
            </w:pPr>
            <w:r w:rsidRPr="00B0669D">
              <w:rPr>
                <w:rFonts w:eastAsia="Calibri" w:cs="Arial"/>
                <w:color w:val="0D0D0D"/>
                <w:lang w:eastAsia="pl-PL"/>
              </w:rPr>
              <w:lastRenderedPageBreak/>
              <w:t xml:space="preserve">Średnia wartość arytmetyczna dofinansowania UE jednego </w:t>
            </w:r>
            <w:r w:rsidRPr="00B0669D">
              <w:rPr>
                <w:rFonts w:eastAsia="Calibri" w:cs="Arial"/>
                <w:color w:val="0D0D0D"/>
                <w:lang w:eastAsia="pl-PL"/>
              </w:rPr>
              <w:lastRenderedPageBreak/>
              <w:t>obiektu</w:t>
            </w:r>
            <w:r w:rsidRPr="00B0669D" w:rsidDel="00E45013">
              <w:rPr>
                <w:rFonts w:eastAsia="Calibri" w:cs="Arial"/>
                <w:color w:val="0D0D0D"/>
                <w:lang w:eastAsia="pl-PL"/>
              </w:rPr>
              <w:t xml:space="preserve"> </w:t>
            </w:r>
            <w:r w:rsidRPr="00B0669D">
              <w:rPr>
                <w:rFonts w:eastAsia="Calibri" w:cs="Arial"/>
                <w:color w:val="0D0D0D"/>
                <w:lang w:eastAsia="pl-PL"/>
              </w:rPr>
              <w:t>budowlanego, kubaturowego i całorocznego w projekcie: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565" w:hanging="425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9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- poniżej lub równe 1 272 042 euro; 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565" w:hanging="425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6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– poniżej lub równe 1 496 520 euro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565" w:hanging="425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3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– poniżej lub równe 1 720 998 euro </w:t>
            </w:r>
          </w:p>
          <w:p w:rsidR="006B3580" w:rsidRPr="00B0669D" w:rsidRDefault="006B3580" w:rsidP="00AA1B61">
            <w:pPr>
              <w:autoSpaceDE w:val="0"/>
              <w:autoSpaceDN w:val="0"/>
              <w:ind w:left="565" w:hanging="425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0 </w:t>
            </w:r>
            <w:proofErr w:type="spellStart"/>
            <w:r w:rsidRPr="00B0669D">
              <w:rPr>
                <w:rFonts w:eastAsia="Calibri" w:cs="Arial"/>
                <w:lang w:eastAsia="pl-PL"/>
              </w:rPr>
              <w:t>pkt</w:t>
            </w:r>
            <w:proofErr w:type="spellEnd"/>
            <w:r w:rsidRPr="00B0669D">
              <w:rPr>
                <w:rFonts w:eastAsia="Calibri" w:cs="Arial"/>
                <w:lang w:eastAsia="pl-PL"/>
              </w:rPr>
              <w:t xml:space="preserve"> - brak spełnienia ww. warunków lub brak informacji w tym zakresie.</w:t>
            </w:r>
          </w:p>
          <w:p w:rsidR="006B3580" w:rsidRPr="00B0669D" w:rsidRDefault="006B3580" w:rsidP="00AA1B61">
            <w:pPr>
              <w:ind w:left="123"/>
              <w:rPr>
                <w:rFonts w:eastAsia="Calibri" w:cs="Arial"/>
                <w:lang w:eastAsia="pl-PL"/>
              </w:rPr>
            </w:pPr>
            <w:r w:rsidRPr="00B0669D">
              <w:rPr>
                <w:rFonts w:eastAsia="Calibri" w:cs="Arial"/>
                <w:color w:val="0D0D0D"/>
              </w:rPr>
              <w:t xml:space="preserve">Koszt należy przeliczyć kursem euro podanym w regulaminie konkursu. </w:t>
            </w:r>
            <w:r w:rsidRPr="00B0669D">
              <w:rPr>
                <w:rFonts w:eastAsia="Calibri" w:cs="Arial"/>
                <w:lang w:eastAsia="pl-PL"/>
              </w:rPr>
              <w:t>Punkty w ramach kryterium nie podlegają sumowaniu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9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B0669D">
              <w:rPr>
                <w:rFonts w:eastAsia="Calibri" w:cs="Arial"/>
                <w:lang w:eastAsia="pl-PL"/>
              </w:rPr>
              <w:t xml:space="preserve">Komplementarność projektu z przedsięwzięciami finansowanymi </w:t>
            </w:r>
            <w:r w:rsidRPr="00B0669D">
              <w:rPr>
                <w:rFonts w:eastAsia="Calibri" w:cs="Arial"/>
                <w:lang w:eastAsia="pl-PL"/>
              </w:rPr>
              <w:br/>
              <w:t>z Europejskiego Funduszu Społecznego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 w:firstLine="1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>Zgodnie z RPO WM 2014 - 2020 kryterium promuje komplementarność podejmowanych działań finansowanych ze środków Europejskiego Funduszu Rozwoju Regionalnego (EFRR) oraz Europejskiego Funduszu Społecznego (EFS) służy maksymalizowaniu efektywności udzielanego wsparcia.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4" w:right="142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Komplementarność względem EFS badana będzie zarówno w </w:t>
            </w:r>
            <w:r w:rsidRPr="00B0669D">
              <w:rPr>
                <w:rFonts w:eastAsia="Calibri" w:cs="Arial"/>
                <w:color w:val="000000"/>
              </w:rPr>
              <w:lastRenderedPageBreak/>
              <w:t>odniesieniu do perspektywy 2014 -2020, jak i 2007-2013.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4" w:right="142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W ramach kryterium oceniane będzie, czy w odniesieniu do projektu (planowanego do wsparcia z EFRR) wykazana została komplementarność z projektami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współfinasowanymi</w:t>
            </w:r>
            <w:proofErr w:type="spellEnd"/>
            <w:r w:rsidRPr="00B0669D">
              <w:rPr>
                <w:rFonts w:eastAsia="Calibri" w:cs="Arial"/>
                <w:color w:val="000000"/>
              </w:rPr>
              <w:t xml:space="preserve"> z EFS wskazanymi w programie rewitalizacji znajdującym się w Wykazie programów rewitalizacji województwa mazowieckiego wnioskodawcy lub partnera wnioskodawcy.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565" w:hanging="425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lastRenderedPageBreak/>
              <w:t>Wnioskodawca wykazał, że:</w:t>
            </w:r>
          </w:p>
          <w:p w:rsidR="006B3580" w:rsidRPr="00B0669D" w:rsidRDefault="006B3580" w:rsidP="00AA1B61">
            <w:pPr>
              <w:ind w:left="565" w:hanging="425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5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pkt</w:t>
            </w:r>
            <w:proofErr w:type="spellEnd"/>
            <w:r w:rsidRPr="00B0669D">
              <w:rPr>
                <w:rFonts w:eastAsia="Calibri" w:cs="Arial"/>
                <w:color w:val="000000"/>
              </w:rPr>
              <w:t xml:space="preserve"> – projekt jest komplementarny z przedsięwzięciami finansowanymi z EFS, będącymi w trakcie realizacji bądź zrealizowanymi,</w:t>
            </w:r>
          </w:p>
          <w:p w:rsidR="006B3580" w:rsidRPr="00B0669D" w:rsidRDefault="006B3580" w:rsidP="00AA1B61">
            <w:pPr>
              <w:ind w:left="565" w:hanging="425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lastRenderedPageBreak/>
              <w:t xml:space="preserve">3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pkt</w:t>
            </w:r>
            <w:proofErr w:type="spellEnd"/>
            <w:r w:rsidRPr="00B0669D">
              <w:rPr>
                <w:rFonts w:eastAsia="Calibri" w:cs="Arial"/>
                <w:color w:val="000000"/>
              </w:rPr>
              <w:t xml:space="preserve"> – projekt jest komplementarny z przedsięwzięciami, dla których został złożony wniosek o dofinansowanie ze środków EFS, </w:t>
            </w:r>
          </w:p>
          <w:p w:rsidR="006B3580" w:rsidRPr="00B0669D" w:rsidRDefault="006B3580" w:rsidP="00AA1B61">
            <w:pPr>
              <w:ind w:left="565" w:hanging="425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1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pkt</w:t>
            </w:r>
            <w:proofErr w:type="spellEnd"/>
            <w:r w:rsidRPr="00B0669D">
              <w:rPr>
                <w:rFonts w:eastAsia="Calibri" w:cs="Arial"/>
                <w:color w:val="000000"/>
              </w:rPr>
              <w:t xml:space="preserve"> – wnioskodawca wykazał komplementarność projektu z przedsięwzięciami planowanymi do realizacji ze środków EFS przez niego lub inne podmioty, dla których nie został złożony wniosek o dofinansowanie, ale zostały ujęte w programie rewitalizacji znajdującym się w Wykazie programów rewitalizacji województwa mazowieckiego a operator programu rewitalizacji zobowiązał się, że zostaną złożone,</w:t>
            </w:r>
          </w:p>
          <w:p w:rsidR="006B3580" w:rsidRPr="00B0669D" w:rsidRDefault="006B3580" w:rsidP="00AA1B61">
            <w:pPr>
              <w:ind w:left="565" w:hanging="425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0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brak spełnienia ww. warunków lub brak informacji w tym zakresie.</w:t>
            </w:r>
          </w:p>
          <w:p w:rsidR="006B3580" w:rsidRPr="00B0669D" w:rsidRDefault="006B3580" w:rsidP="00AA1B61">
            <w:pPr>
              <w:ind w:left="282" w:hanging="142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</w:rPr>
              <w:t>Punkty w ramach kryterium nie podlegają sumowaniu.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5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F72CA" w:rsidRDefault="006B3580" w:rsidP="00AA1B61">
            <w:pPr>
              <w:pStyle w:val="Default"/>
              <w:tabs>
                <w:tab w:val="left" w:pos="142"/>
                <w:tab w:val="left" w:pos="386"/>
              </w:tabs>
              <w:jc w:val="left"/>
              <w:rPr>
                <w:rFonts w:eastAsia="Calibri" w:cs="Arial"/>
                <w:lang w:eastAsia="en-US"/>
              </w:rPr>
            </w:pPr>
            <w:r w:rsidRPr="00BF72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Komplementarność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BF72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projektu z projektami dotyczącymi terenów inwestycyjnych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F72CA" w:rsidRDefault="006B3580" w:rsidP="00AA1B61">
            <w:pPr>
              <w:spacing w:after="0"/>
              <w:ind w:left="167" w:right="256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>Kryterium promuje projekty komplementarne z projektami w ramach:</w:t>
            </w:r>
          </w:p>
          <w:p w:rsidR="006B3580" w:rsidRPr="00BF72CA" w:rsidRDefault="006B3580" w:rsidP="006B3580">
            <w:pPr>
              <w:pStyle w:val="Akapitzlist0"/>
              <w:numPr>
                <w:ilvl w:val="0"/>
                <w:numId w:val="16"/>
              </w:numPr>
              <w:spacing w:before="0" w:after="0"/>
              <w:ind w:right="256"/>
              <w:jc w:val="left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Działania 3.1 </w:t>
            </w:r>
            <w:r>
              <w:rPr>
                <w:rFonts w:eastAsia="Calibri" w:cs="Arial"/>
                <w:color w:val="000000"/>
              </w:rPr>
              <w:t>„</w:t>
            </w:r>
            <w:r w:rsidRPr="00BF72CA">
              <w:rPr>
                <w:rFonts w:eastAsia="Calibri" w:cs="Arial"/>
                <w:color w:val="000000"/>
              </w:rPr>
              <w:t>Poprawa rozwoju MŚP na Mazowszu</w:t>
            </w:r>
            <w:r>
              <w:rPr>
                <w:rFonts w:eastAsia="Calibri" w:cs="Arial"/>
                <w:color w:val="000000"/>
              </w:rPr>
              <w:t>”</w:t>
            </w:r>
            <w:r w:rsidRPr="00BF72CA">
              <w:rPr>
                <w:rFonts w:eastAsia="Calibri" w:cs="Arial"/>
                <w:color w:val="000000"/>
              </w:rPr>
              <w:t xml:space="preserve">, Typ projektów: </w:t>
            </w:r>
            <w:r>
              <w:rPr>
                <w:rFonts w:eastAsia="Calibri" w:cs="Arial"/>
                <w:color w:val="000000"/>
              </w:rPr>
              <w:t>„</w:t>
            </w:r>
            <w:r w:rsidRPr="00BF72CA">
              <w:rPr>
                <w:rFonts w:eastAsia="Calibri" w:cs="Arial"/>
                <w:color w:val="000000"/>
              </w:rPr>
              <w:t>Uporządkowanie i przygotowanie terenów inwestycyjnych w celu nadania im nowych funkcji gospodarczych</w:t>
            </w:r>
            <w:r>
              <w:rPr>
                <w:rFonts w:eastAsia="Calibri" w:cs="Arial"/>
                <w:color w:val="000000"/>
              </w:rPr>
              <w:t>”</w:t>
            </w:r>
            <w:r w:rsidRPr="00BF72CA">
              <w:rPr>
                <w:rFonts w:eastAsia="Calibri" w:cs="Arial"/>
                <w:color w:val="000000"/>
              </w:rPr>
              <w:t xml:space="preserve"> w RPO WM 2014-2020, </w:t>
            </w:r>
          </w:p>
          <w:p w:rsidR="006B3580" w:rsidRPr="00BF72CA" w:rsidRDefault="006B3580" w:rsidP="006B3580">
            <w:pPr>
              <w:pStyle w:val="Akapitzlist0"/>
              <w:numPr>
                <w:ilvl w:val="0"/>
                <w:numId w:val="16"/>
              </w:numPr>
              <w:spacing w:before="0" w:after="0"/>
              <w:ind w:right="256"/>
              <w:jc w:val="left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Działania 1.3 </w:t>
            </w:r>
            <w:r>
              <w:rPr>
                <w:rFonts w:eastAsia="Calibri" w:cs="Arial"/>
                <w:color w:val="000000"/>
              </w:rPr>
              <w:t>„</w:t>
            </w:r>
            <w:r w:rsidRPr="00BF72CA">
              <w:rPr>
                <w:rFonts w:eastAsia="Calibri" w:cs="Arial"/>
                <w:color w:val="000000"/>
              </w:rPr>
              <w:t>Kompleksowe przygotowanie terenów pod działalność gospodarczą</w:t>
            </w:r>
            <w:r>
              <w:rPr>
                <w:rFonts w:eastAsia="Calibri" w:cs="Arial"/>
                <w:color w:val="000000"/>
              </w:rPr>
              <w:t>”</w:t>
            </w:r>
            <w:r w:rsidRPr="00BF72CA">
              <w:rPr>
                <w:rFonts w:eastAsia="Calibri" w:cs="Arial"/>
                <w:color w:val="000000"/>
              </w:rPr>
              <w:t xml:space="preserve"> RPO WM 2007-2013</w:t>
            </w:r>
          </w:p>
          <w:p w:rsidR="006B3580" w:rsidRPr="00B0669D" w:rsidRDefault="006B3580" w:rsidP="00AA1B61">
            <w:pPr>
              <w:pStyle w:val="Akapitzlist0"/>
              <w:spacing w:after="0"/>
              <w:ind w:left="167" w:right="256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realizowanymi wyłącznie na obszarach powojskowych, poprzemysłowych, </w:t>
            </w:r>
            <w:proofErr w:type="spellStart"/>
            <w:r>
              <w:rPr>
                <w:rFonts w:eastAsia="Calibri" w:cs="Arial"/>
                <w:color w:val="000000"/>
              </w:rPr>
              <w:t>pokolejowych</w:t>
            </w:r>
            <w:proofErr w:type="spellEnd"/>
            <w:r>
              <w:rPr>
                <w:rFonts w:eastAsia="Calibri" w:cs="Arial"/>
                <w:color w:val="000000"/>
              </w:rPr>
              <w:t xml:space="preserve"> i popegeerowskich.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F72CA" w:rsidRDefault="006B3580" w:rsidP="00AA1B61">
            <w:pPr>
              <w:ind w:left="565" w:right="261" w:hanging="425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>Wnioskodawca wykazał, że projekt jest komplementarny z przedsięwzięciami:</w:t>
            </w:r>
          </w:p>
          <w:p w:rsidR="006B3580" w:rsidRPr="00BF72CA" w:rsidRDefault="006B3580" w:rsidP="00AA1B61">
            <w:pPr>
              <w:ind w:left="565" w:right="261" w:hanging="425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3 </w:t>
            </w:r>
            <w:proofErr w:type="spellStart"/>
            <w:r w:rsidRPr="00BF72CA">
              <w:rPr>
                <w:rFonts w:eastAsia="Calibri" w:cs="Arial"/>
                <w:color w:val="000000"/>
              </w:rPr>
              <w:t>pkt</w:t>
            </w:r>
            <w:proofErr w:type="spellEnd"/>
            <w:r w:rsidRPr="00BF72CA">
              <w:rPr>
                <w:rFonts w:eastAsia="Calibri" w:cs="Arial"/>
                <w:color w:val="000000"/>
              </w:rPr>
              <w:t xml:space="preserve"> – będącymi w trakcie realizacji bądź zrealizowanymi przez niego lub inne podmioty zaangażowane w projekt ze środków Działania 3.1 RPO WM 2014-2020 lub Działania 1.3 RPO WM 2007-2013.</w:t>
            </w:r>
          </w:p>
          <w:p w:rsidR="006B3580" w:rsidRPr="00BF72CA" w:rsidRDefault="006B3580" w:rsidP="00AA1B61">
            <w:pPr>
              <w:ind w:left="565" w:right="261" w:hanging="425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2 </w:t>
            </w:r>
            <w:proofErr w:type="spellStart"/>
            <w:r w:rsidRPr="00BF72CA">
              <w:rPr>
                <w:rFonts w:eastAsia="Calibri" w:cs="Arial"/>
                <w:color w:val="000000"/>
              </w:rPr>
              <w:t>pkt</w:t>
            </w:r>
            <w:proofErr w:type="spellEnd"/>
            <w:r w:rsidRPr="00BF72CA">
              <w:rPr>
                <w:rFonts w:eastAsia="Calibri" w:cs="Arial"/>
                <w:color w:val="000000"/>
              </w:rPr>
              <w:t xml:space="preserve"> – dla których został złożony wniosek o dofinansowanie ze środków Działania 3.1 RPO WM 2014-2020 przez niego lub inne podmioty zaangażowane w projekt,</w:t>
            </w:r>
          </w:p>
          <w:p w:rsidR="006B3580" w:rsidRPr="00BF72CA" w:rsidRDefault="006B3580" w:rsidP="00AA1B61">
            <w:pPr>
              <w:ind w:left="565" w:right="261" w:hanging="425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0 </w:t>
            </w:r>
            <w:proofErr w:type="spellStart"/>
            <w:r w:rsidRPr="00BF72CA">
              <w:rPr>
                <w:rFonts w:eastAsia="Calibri" w:cs="Arial"/>
                <w:color w:val="000000"/>
              </w:rPr>
              <w:t>pkt</w:t>
            </w:r>
            <w:proofErr w:type="spellEnd"/>
            <w:r w:rsidRPr="00BF72CA">
              <w:rPr>
                <w:rFonts w:eastAsia="Calibri" w:cs="Arial"/>
                <w:color w:val="000000"/>
              </w:rPr>
              <w:t xml:space="preserve"> – wnioskodawca nie wykazał komplementarności z przedsięwzięciami planowanymi do realizacji ze ww. środków przez niego lub inne podmioty zaangażowane w projekt lub </w:t>
            </w:r>
            <w:r w:rsidRPr="00BF72CA">
              <w:rPr>
                <w:rFonts w:eastAsia="Calibri" w:cs="Arial"/>
                <w:color w:val="000000"/>
              </w:rPr>
              <w:lastRenderedPageBreak/>
              <w:t>brak informacji w tym zakresie.</w:t>
            </w:r>
          </w:p>
          <w:p w:rsidR="006B3580" w:rsidRPr="00B0669D" w:rsidRDefault="006B3580" w:rsidP="00AA1B61">
            <w:pPr>
              <w:ind w:left="565" w:right="261" w:hanging="425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>Punkty w ramach kryterium nie podlegają sumowaniu.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  <w:color w:val="A6A6A6"/>
              </w:rPr>
            </w:pPr>
            <w:r w:rsidRPr="00B0669D">
              <w:rPr>
                <w:rFonts w:eastAsia="Times New Roman" w:cs="Arial"/>
                <w:lang w:eastAsia="pl-PL"/>
              </w:rPr>
              <w:lastRenderedPageBreak/>
              <w:t>3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>Odzyskiwanie zdegradowanych przestrzeni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F72CA" w:rsidRDefault="006B3580" w:rsidP="00AA1B61">
            <w:pPr>
              <w:autoSpaceDE w:val="0"/>
              <w:autoSpaceDN w:val="0"/>
              <w:adjustRightInd w:val="0"/>
              <w:ind w:left="164" w:right="142"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 xml:space="preserve">Kryterium promuje projekty kompleksowe realizowane na obszarach wskazanych w studium uwarunkowań i kierunków zagospodarowania przestrzennego </w:t>
            </w:r>
            <w:proofErr w:type="spellStart"/>
            <w:r w:rsidRPr="00BF72CA">
              <w:rPr>
                <w:rFonts w:eastAsia="Calibri" w:cs="Arial"/>
                <w:color w:val="000000"/>
              </w:rPr>
              <w:t>gminy</w:t>
            </w:r>
            <w:proofErr w:type="spellEnd"/>
            <w:r w:rsidRPr="00BF72CA">
              <w:rPr>
                <w:rFonts w:eastAsia="Calibri" w:cs="Arial"/>
                <w:color w:val="000000"/>
              </w:rPr>
              <w:t xml:space="preserve">, jako obszary wymagające przekształceń, rehabilitacji, rekultywacji lub </w:t>
            </w:r>
            <w:proofErr w:type="spellStart"/>
            <w:r w:rsidRPr="00BF72CA">
              <w:rPr>
                <w:rFonts w:eastAsia="Calibri" w:cs="Arial"/>
                <w:color w:val="000000"/>
              </w:rPr>
              <w:t>remediacji</w:t>
            </w:r>
            <w:proofErr w:type="spellEnd"/>
            <w:r w:rsidRPr="00BF72CA">
              <w:rPr>
                <w:rFonts w:eastAsia="Calibri" w:cs="Arial"/>
                <w:color w:val="000000"/>
              </w:rPr>
              <w:t xml:space="preserve"> (wykluczając tereny rolne i leśne).</w:t>
            </w:r>
          </w:p>
          <w:p w:rsidR="006B3580" w:rsidRPr="00B0669D" w:rsidRDefault="006B3580" w:rsidP="00AA1B61">
            <w:pPr>
              <w:ind w:left="167" w:right="256"/>
              <w:contextualSpacing/>
              <w:rPr>
                <w:rFonts w:eastAsia="Calibri" w:cs="Arial"/>
                <w:color w:val="000000"/>
              </w:rPr>
            </w:pPr>
            <w:r w:rsidRPr="00BF72CA">
              <w:rPr>
                <w:rFonts w:eastAsia="Calibri" w:cs="Arial"/>
                <w:color w:val="000000"/>
              </w:rPr>
              <w:t>Wnioskodawca musi dołączyć wypis ze SUIKZPG w wyżej przytoczonym zakresie.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715A91" w:rsidRDefault="006B3580" w:rsidP="00AA1B61">
            <w:pPr>
              <w:ind w:left="848" w:hanging="567"/>
              <w:rPr>
                <w:rFonts w:cs="Calibri"/>
                <w:color w:val="000000"/>
              </w:rPr>
            </w:pPr>
            <w:r>
              <w:t>3</w:t>
            </w:r>
            <w:r w:rsidRPr="000E7F4D">
              <w:t xml:space="preserve"> </w:t>
            </w:r>
            <w:proofErr w:type="spellStart"/>
            <w:r w:rsidRPr="000E7F4D">
              <w:t>pkt</w:t>
            </w:r>
            <w:proofErr w:type="spellEnd"/>
            <w:r>
              <w:t xml:space="preserve"> </w:t>
            </w:r>
            <w:r w:rsidRPr="00EC7BF2">
              <w:t xml:space="preserve">- </w:t>
            </w:r>
            <w:r w:rsidRPr="00715A91">
              <w:rPr>
                <w:rFonts w:cs="Calibri"/>
                <w:color w:val="000000"/>
              </w:rPr>
              <w:t>za spełnienie warunku.</w:t>
            </w:r>
          </w:p>
          <w:p w:rsidR="006B3580" w:rsidRPr="00B0669D" w:rsidRDefault="006B3580" w:rsidP="00AA1B61">
            <w:pPr>
              <w:ind w:left="848" w:hanging="567"/>
              <w:rPr>
                <w:rFonts w:eastAsia="Calibri" w:cs="Arial"/>
                <w:color w:val="000000"/>
              </w:rPr>
            </w:pPr>
            <w:r w:rsidRPr="00715A91">
              <w:rPr>
                <w:rFonts w:cs="Calibri"/>
                <w:color w:val="000000"/>
              </w:rPr>
              <w:t xml:space="preserve">0 </w:t>
            </w:r>
            <w:proofErr w:type="spellStart"/>
            <w:r w:rsidRPr="00715A91">
              <w:rPr>
                <w:rFonts w:cs="Calibri"/>
                <w:color w:val="000000"/>
              </w:rPr>
              <w:t>pkt</w:t>
            </w:r>
            <w:proofErr w:type="spellEnd"/>
            <w:r w:rsidRPr="00715A91">
              <w:rPr>
                <w:rFonts w:cs="Calibri"/>
                <w:color w:val="000000"/>
              </w:rPr>
              <w:t xml:space="preserve"> - brak spełnienia ww. warunków lub brak informacji w tym zakresie.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3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>Projekty generujące bezpośredni efekt społeczno-gospodarczy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164" w:right="255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</w:rPr>
              <w:t xml:space="preserve">Zgodnie z RPO WM 2014-2020, kryterium promuje projekty, w których </w:t>
            </w:r>
            <w:r w:rsidRPr="00B0669D">
              <w:rPr>
                <w:rFonts w:eastAsia="Calibri" w:cs="Arial"/>
                <w:color w:val="000000"/>
              </w:rPr>
              <w:t xml:space="preserve">wnioskodawca wykazał na podstawie rzetelnych analiz, że </w:t>
            </w:r>
            <w:r w:rsidRPr="00B0669D">
              <w:rPr>
                <w:rFonts w:eastAsia="Calibri" w:cs="Arial"/>
              </w:rPr>
              <w:t>projekt może wpłynąć na osiągniecie, co najmniej jednego z poniższych efektów:</w:t>
            </w:r>
          </w:p>
          <w:p w:rsidR="006B3580" w:rsidRPr="00B0669D" w:rsidRDefault="006B3580" w:rsidP="006B358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80" w:after="80" w:line="312" w:lineRule="auto"/>
              <w:ind w:left="567" w:right="232" w:hanging="426"/>
              <w:jc w:val="left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>zwiększenie dostępności do usług społecznych;</w:t>
            </w:r>
          </w:p>
          <w:p w:rsidR="006B3580" w:rsidRPr="00B0669D" w:rsidRDefault="006B3580" w:rsidP="006B3580">
            <w:pPr>
              <w:numPr>
                <w:ilvl w:val="0"/>
                <w:numId w:val="18"/>
              </w:numPr>
              <w:spacing w:before="80" w:after="80" w:line="312" w:lineRule="auto"/>
              <w:ind w:left="567" w:right="232" w:hanging="426"/>
              <w:contextualSpacing/>
              <w:jc w:val="left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stworzenie warunków na odejście od form opieki instytucjonalnej na rzecz opieki środowiskowej (nie wykluczając stacjonarnych form opieki); </w:t>
            </w:r>
          </w:p>
          <w:p w:rsidR="006B3580" w:rsidRPr="00B0669D" w:rsidRDefault="006B3580" w:rsidP="006B358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80" w:after="80" w:line="312" w:lineRule="auto"/>
              <w:ind w:left="567" w:right="232" w:hanging="426"/>
              <w:jc w:val="left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>zwiększenie zatrudnienia osób zamieszkujących obszar wskazany w programie rewitalizacji do rewitalizacji;</w:t>
            </w:r>
          </w:p>
          <w:p w:rsidR="006B3580" w:rsidRPr="00B0669D" w:rsidRDefault="006B3580" w:rsidP="006B358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80" w:after="80" w:line="312" w:lineRule="auto"/>
              <w:ind w:left="567" w:right="256" w:hanging="426"/>
              <w:contextualSpacing/>
              <w:jc w:val="left"/>
              <w:rPr>
                <w:rFonts w:eastAsia="Calibri" w:cs="Arial"/>
              </w:rPr>
            </w:pPr>
            <w:r w:rsidRPr="00B0669D">
              <w:rPr>
                <w:rFonts w:eastAsia="Calibri" w:cs="Arial"/>
                <w:color w:val="000000"/>
              </w:rPr>
              <w:t xml:space="preserve">udostępnienie przestrzeni do działalności gospodarczej </w:t>
            </w:r>
            <w:r w:rsidRPr="00B0669D">
              <w:rPr>
                <w:rFonts w:eastAsia="Calibri" w:cs="Arial"/>
                <w:color w:val="000000"/>
              </w:rPr>
              <w:lastRenderedPageBreak/>
              <w:t xml:space="preserve">o charakterze usługowo-handlowym (z wykluczeniem obiektów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wielkopowierzchniowych</w:t>
            </w:r>
            <w:proofErr w:type="spellEnd"/>
            <w:r w:rsidRPr="00B0669D">
              <w:rPr>
                <w:rFonts w:eastAsia="Calibri" w:cs="Arial"/>
                <w:color w:val="000000"/>
              </w:rPr>
              <w:t>), w tym sprzedaży produktów lokalnych i regionalnych.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4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Weryfikacja nastąpi na podstawie opisu projektu:</w:t>
            </w:r>
          </w:p>
          <w:p w:rsidR="006B3580" w:rsidRPr="00B0669D" w:rsidRDefault="006B3580" w:rsidP="00AA1B61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4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inwestycja generuje 4 wymienione efekty;</w:t>
            </w:r>
          </w:p>
          <w:p w:rsidR="006B3580" w:rsidRPr="00B0669D" w:rsidRDefault="006B3580" w:rsidP="00AA1B61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3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inwestycja generuje 3 z wymienionych efektów;</w:t>
            </w:r>
          </w:p>
          <w:p w:rsidR="006B3580" w:rsidRPr="00B0669D" w:rsidRDefault="006B3580" w:rsidP="00AA1B61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2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inwestycja generuje 2 z wymienionych efektów;</w:t>
            </w:r>
          </w:p>
          <w:p w:rsidR="006B3580" w:rsidRPr="00B0669D" w:rsidRDefault="006B3580" w:rsidP="00AA1B61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1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inwestycja generuje 1 z wymienionych efektów;</w:t>
            </w:r>
          </w:p>
          <w:p w:rsidR="006B3580" w:rsidRPr="00B0669D" w:rsidRDefault="006B3580" w:rsidP="00AA1B61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0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inwestycja nie generuje </w:t>
            </w:r>
            <w:r w:rsidRPr="00B0669D">
              <w:rPr>
                <w:rFonts w:eastAsia="Calibri" w:cs="Arial"/>
              </w:rPr>
              <w:lastRenderedPageBreak/>
              <w:t>żadnego z wymienionych efektów.</w:t>
            </w:r>
          </w:p>
          <w:p w:rsidR="006B3580" w:rsidRPr="00B0669D" w:rsidRDefault="006B3580" w:rsidP="00AA1B61">
            <w:pPr>
              <w:ind w:left="272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Punkty w ramach kryterium nie podlegają sumowaniu.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4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Calibri" w:cs="Arial"/>
                <w:color w:val="A6A6A6"/>
              </w:rPr>
            </w:pPr>
            <w:r w:rsidRPr="00B0669D">
              <w:rPr>
                <w:rFonts w:eastAsia="Calibri" w:cs="Arial"/>
              </w:rPr>
              <w:t>Projekty wyłonione w ramach konkursu architektonicznego, architektoniczno-urbanistycznego lub urbanistycznego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167" w:right="256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Kryterium promuje projekty dotyczące zagospodarowania przestrzeni (przestrzeni publicznych, projektów urbanistycznych dot. przekształcania lub rekultywacji terenu, terenów zielonych i parków) oraz obiektów kubaturowych (w tym zwłaszcza obiekty użyteczności publicznej - obiekty zabytkowe oraz te o funkcji rekreacyjnej, turystycznej, administracyjnej), które zostały wyłonione w konkursie architektonicznym, architektoniczno- urbanistycznym lub urbanistycznym.</w:t>
            </w:r>
          </w:p>
          <w:p w:rsidR="006B3580" w:rsidRPr="00B0669D" w:rsidRDefault="006B3580" w:rsidP="00AA1B61">
            <w:pPr>
              <w:ind w:left="167" w:right="256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Konkurs architektoniczny nie musi dotyczyć całego przedsięwzięcia.</w:t>
            </w:r>
          </w:p>
          <w:p w:rsidR="006B3580" w:rsidRPr="00B0669D" w:rsidRDefault="006B3580" w:rsidP="00AA1B61">
            <w:pPr>
              <w:ind w:left="167" w:right="256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:rsidR="006B3580" w:rsidRPr="00B0669D" w:rsidRDefault="006B3580" w:rsidP="006B3580">
            <w:pPr>
              <w:pStyle w:val="Akapitzlist0"/>
              <w:numPr>
                <w:ilvl w:val="0"/>
                <w:numId w:val="17"/>
              </w:numPr>
              <w:spacing w:before="80" w:after="80" w:line="312" w:lineRule="auto"/>
              <w:ind w:left="453" w:right="256" w:hanging="283"/>
              <w:jc w:val="left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oświadczenie o realizacji inwestycji wyłonionej w konkursie architektonicznym, architektoniczno-urbanistycznym lub urbanistycznym,</w:t>
            </w:r>
          </w:p>
          <w:p w:rsidR="006B3580" w:rsidRPr="00B0669D" w:rsidRDefault="006B3580" w:rsidP="006B3580">
            <w:pPr>
              <w:pStyle w:val="Akapitzlist0"/>
              <w:numPr>
                <w:ilvl w:val="0"/>
                <w:numId w:val="17"/>
              </w:numPr>
              <w:spacing w:before="80" w:after="80" w:line="312" w:lineRule="auto"/>
              <w:ind w:left="453" w:right="256" w:hanging="283"/>
              <w:jc w:val="left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dokumentacji wykonawczej przygotowanej w oparciu </w:t>
            </w:r>
            <w:r>
              <w:rPr>
                <w:rFonts w:eastAsia="Calibri" w:cs="Arial"/>
              </w:rPr>
              <w:br/>
            </w:r>
            <w:r w:rsidRPr="00B0669D">
              <w:rPr>
                <w:rFonts w:eastAsia="Calibri" w:cs="Arial"/>
              </w:rPr>
              <w:lastRenderedPageBreak/>
              <w:t>o projekty wyłonione w konkursie architektonicznym, architektoniczno-urbanistycznym lub urbanistycznym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565" w:right="141" w:hanging="425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 xml:space="preserve">5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zakłada wykorzystanie wyników konkursu architektonicznego, architektoniczno-urbanistycznego lub urbanistycznego;</w:t>
            </w:r>
          </w:p>
          <w:p w:rsidR="006B3580" w:rsidRPr="00B0669D" w:rsidRDefault="006B3580" w:rsidP="00AA1B61">
            <w:pPr>
              <w:ind w:left="565" w:right="141" w:hanging="425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0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brak spełnienia ww. warunków lub brak informacji w tym zakresie.</w:t>
            </w:r>
          </w:p>
          <w:p w:rsidR="006B3580" w:rsidRPr="00B0669D" w:rsidRDefault="006B3580" w:rsidP="00AA1B61">
            <w:pPr>
              <w:ind w:left="140" w:right="141"/>
              <w:rPr>
                <w:rFonts w:eastAsia="Calibri" w:cs="Arial"/>
                <w:color w:val="A6A6A6"/>
              </w:rPr>
            </w:pPr>
            <w:r w:rsidRPr="00B0669D">
              <w:rPr>
                <w:rFonts w:eastAsia="Calibri" w:cs="Arial"/>
              </w:rPr>
              <w:t xml:space="preserve">Projekty o wartości dofinansowania powyżej 10 mln zł </w:t>
            </w:r>
            <w:r w:rsidRPr="00B0669D">
              <w:rPr>
                <w:rFonts w:eastAsia="Calibri" w:cs="Arial"/>
                <w:u w:val="single"/>
              </w:rPr>
              <w:t>zawsze otrzymują -</w:t>
            </w:r>
            <w:r w:rsidRPr="00B0669D">
              <w:rPr>
                <w:rFonts w:eastAsia="Calibri" w:cs="Arial"/>
              </w:rPr>
              <w:t xml:space="preserve"> 5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ind w:left="34"/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5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8.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B0669D">
              <w:rPr>
                <w:rFonts w:eastAsia="Calibri" w:cs="Arial"/>
                <w:color w:val="000000"/>
              </w:rPr>
              <w:t>Zwiększenie efektywności</w:t>
            </w:r>
            <w:r w:rsidRPr="00B0669D">
              <w:rPr>
                <w:rFonts w:eastAsia="Calibri" w:cs="Arial"/>
                <w:color w:val="000000"/>
              </w:rPr>
              <w:br/>
              <w:t>energetycznej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167" w:right="256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Zgodnie z RPO WM 2014-2020, promowane są projekty, w których wykazano, że przyczynią się one do zwiększenia efektywności energetycznej </w:t>
            </w:r>
            <w:proofErr w:type="spellStart"/>
            <w:r w:rsidRPr="00B0669D">
              <w:rPr>
                <w:rFonts w:eastAsia="Calibri" w:cs="Arial"/>
              </w:rPr>
              <w:t>termomodernizowanych</w:t>
            </w:r>
            <w:proofErr w:type="spellEnd"/>
            <w:r w:rsidRPr="00B0669D">
              <w:rPr>
                <w:rFonts w:eastAsia="Calibri" w:cs="Arial"/>
              </w:rPr>
              <w:t xml:space="preserve"> budynków o min. 7%.</w:t>
            </w:r>
          </w:p>
          <w:p w:rsidR="006B3580" w:rsidRPr="00B0669D" w:rsidRDefault="006B3580" w:rsidP="00AA1B61">
            <w:pPr>
              <w:ind w:left="167" w:right="256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Powyższa wartość wynika z audytu energetycznego, z której wynikają również optymalne rozwiązania pod względem ekonomiczno – technicznym.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tabs>
                <w:tab w:val="left" w:pos="565"/>
              </w:tabs>
              <w:ind w:left="565" w:hanging="283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6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zakłada zwiększenia efektywności energetycznej </w:t>
            </w:r>
            <w:proofErr w:type="spellStart"/>
            <w:r w:rsidRPr="00B0669D">
              <w:rPr>
                <w:rFonts w:eastAsia="Calibri" w:cs="Arial"/>
              </w:rPr>
              <w:t>termomodernizowanych</w:t>
            </w:r>
            <w:proofErr w:type="spellEnd"/>
            <w:r w:rsidRPr="00B0669D">
              <w:rPr>
                <w:rFonts w:eastAsia="Calibri" w:cs="Arial"/>
              </w:rPr>
              <w:t xml:space="preserve"> budynków o co najmniej 25%</w:t>
            </w:r>
          </w:p>
          <w:p w:rsidR="006B3580" w:rsidRPr="00B0669D" w:rsidRDefault="006B3580" w:rsidP="00AA1B61">
            <w:pPr>
              <w:tabs>
                <w:tab w:val="left" w:pos="565"/>
              </w:tabs>
              <w:ind w:left="565" w:hanging="283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3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zakłada zwiększenia efektywności energetycznej </w:t>
            </w:r>
            <w:proofErr w:type="spellStart"/>
            <w:r w:rsidRPr="00B0669D">
              <w:rPr>
                <w:rFonts w:eastAsia="Calibri" w:cs="Arial"/>
              </w:rPr>
              <w:t>termomodernizowanych</w:t>
            </w:r>
            <w:proofErr w:type="spellEnd"/>
            <w:r w:rsidRPr="00B0669D">
              <w:rPr>
                <w:rFonts w:eastAsia="Calibri" w:cs="Arial"/>
              </w:rPr>
              <w:t xml:space="preserve"> budynków od 15%-25%</w:t>
            </w:r>
          </w:p>
          <w:p w:rsidR="006B3580" w:rsidRPr="00B0669D" w:rsidRDefault="006B3580" w:rsidP="00AA1B61">
            <w:pPr>
              <w:tabs>
                <w:tab w:val="left" w:pos="565"/>
              </w:tabs>
              <w:ind w:left="565" w:hanging="283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2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zakłada zwiększenia efektywności energetycznej </w:t>
            </w:r>
            <w:proofErr w:type="spellStart"/>
            <w:r w:rsidRPr="00B0669D">
              <w:rPr>
                <w:rFonts w:eastAsia="Calibri" w:cs="Arial"/>
              </w:rPr>
              <w:t>termomodernizowanych</w:t>
            </w:r>
            <w:proofErr w:type="spellEnd"/>
            <w:r w:rsidRPr="00B0669D">
              <w:rPr>
                <w:rFonts w:eastAsia="Calibri" w:cs="Arial"/>
              </w:rPr>
              <w:t xml:space="preserve"> budynków od 7%-15%</w:t>
            </w:r>
          </w:p>
          <w:p w:rsidR="006B3580" w:rsidRPr="00B0669D" w:rsidRDefault="006B3580" w:rsidP="00AA1B61">
            <w:pPr>
              <w:tabs>
                <w:tab w:val="left" w:pos="565"/>
              </w:tabs>
              <w:ind w:left="565" w:hanging="283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0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brak spełnienia ww. warunków lub brak informacji w tym zakresie.</w:t>
            </w:r>
          </w:p>
          <w:p w:rsidR="006B3580" w:rsidRPr="00B0669D" w:rsidRDefault="006B3580" w:rsidP="00AA1B61">
            <w:pPr>
              <w:ind w:left="270" w:right="142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Punkty w ramach kryterium nie podlegają sumowaniu.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ind w:left="34"/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6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>9.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/>
                <w:lang w:eastAsia="pl-PL"/>
              </w:rPr>
            </w:pPr>
            <w:r w:rsidRPr="00B0669D">
              <w:rPr>
                <w:rFonts w:eastAsia="Times New Roman" w:cs="Arial"/>
                <w:lang w:eastAsia="pl-PL"/>
              </w:rPr>
              <w:t>Projekty realizowane w partnerstwie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/>
              <w:rPr>
                <w:rFonts w:eastAsia="Times New Roman" w:cs="Arial"/>
                <w:lang w:eastAsia="pl-PL"/>
              </w:rPr>
            </w:pPr>
            <w:r w:rsidRPr="00B0669D">
              <w:rPr>
                <w:rFonts w:eastAsia="Times New Roman" w:cs="Arial"/>
                <w:lang w:eastAsia="pl-PL"/>
              </w:rPr>
              <w:t xml:space="preserve">Preferowane będą projekty realizowane w formule partnerstwa. Partnerstwa mogą być tworzone przez podmioty wnoszące do projektu zasoby ludzkie, organizacyjne, techniczne lub finansowe na warunkach </w:t>
            </w:r>
            <w:r w:rsidRPr="00B0669D">
              <w:rPr>
                <w:rFonts w:eastAsia="Times New Roman" w:cs="Arial"/>
                <w:lang w:eastAsia="pl-PL"/>
              </w:rPr>
              <w:lastRenderedPageBreak/>
              <w:t xml:space="preserve">określonych w porozumieniu lub umowie o partnerstwie (zgodnie z </w:t>
            </w:r>
            <w:r w:rsidRPr="00B0669D">
              <w:rPr>
                <w:rFonts w:eastAsia="Times New Roman" w:cs="Arial"/>
                <w:color w:val="000000"/>
                <w:lang w:eastAsia="pl-PL"/>
              </w:rPr>
              <w:t>art</w:t>
            </w:r>
            <w:r w:rsidRPr="00B0669D">
              <w:rPr>
                <w:rFonts w:eastAsia="Times New Roman" w:cs="Arial"/>
                <w:lang w:eastAsia="pl-PL"/>
              </w:rPr>
              <w:t>. 33 ust.1 ustawy z dnia 11 lipca 2014 r. o zasadach realizacji programów w zakresie polityki spójności finansowanych w perspektywie finansowej 2014 – 2020 (Dz. U. z 2016 r., poz. 217), dołączonej do dokumentacji aplikacyjnej.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80" w:rsidRPr="00B0669D" w:rsidRDefault="006B3580" w:rsidP="00AA1B61">
            <w:pPr>
              <w:ind w:left="709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 xml:space="preserve">1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realizowany jest w partnerstwie;</w:t>
            </w:r>
          </w:p>
          <w:p w:rsidR="006B3580" w:rsidRPr="00B0669D" w:rsidRDefault="006B3580" w:rsidP="00AA1B61">
            <w:pPr>
              <w:ind w:left="709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0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nie jest realizowany w </w:t>
            </w:r>
            <w:r w:rsidRPr="00B0669D">
              <w:rPr>
                <w:rFonts w:eastAsia="Calibri" w:cs="Arial"/>
              </w:rPr>
              <w:lastRenderedPageBreak/>
              <w:t>partnerstwie lub brak informacji w tym zakresie.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ind w:left="34"/>
              <w:jc w:val="center"/>
              <w:rPr>
                <w:rFonts w:eastAsia="Calibri" w:cs="Arial"/>
              </w:rPr>
            </w:pPr>
            <w:r w:rsidRPr="00B0669D">
              <w:rPr>
                <w:rFonts w:eastAsia="Times New Roman" w:cs="Arial"/>
                <w:lang w:eastAsia="pl-PL"/>
              </w:rPr>
              <w:lastRenderedPageBreak/>
              <w:t>1</w:t>
            </w:r>
          </w:p>
        </w:tc>
      </w:tr>
      <w:tr w:rsidR="006B3580" w:rsidRPr="00B0669D" w:rsidTr="00AA1B61"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jc w:val="center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lastRenderedPageBreak/>
              <w:t>10.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B0669D">
              <w:rPr>
                <w:rFonts w:eastAsia="Calibri" w:cs="Arial"/>
                <w:color w:val="0D0D0D"/>
                <w:lang w:eastAsia="pl-PL"/>
              </w:rPr>
              <w:t>Projekt główny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ind w:left="280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W ramach kryterium ocenie podlegać będzie czy inwestycja jest projektem głównym w danej wiązce projektów. </w:t>
            </w:r>
          </w:p>
          <w:p w:rsidR="006B3580" w:rsidRPr="00B0669D" w:rsidRDefault="006B3580" w:rsidP="00AA1B61">
            <w:pPr>
              <w:autoSpaceDE w:val="0"/>
              <w:autoSpaceDN w:val="0"/>
              <w:adjustRightInd w:val="0"/>
              <w:ind w:left="167" w:right="142"/>
              <w:rPr>
                <w:rFonts w:eastAsia="Times New Roman" w:cs="Arial"/>
                <w:lang w:eastAsia="pl-PL"/>
              </w:rPr>
            </w:pPr>
            <w:r w:rsidRPr="00B0669D">
              <w:rPr>
                <w:rFonts w:eastAsia="Calibri" w:cs="Arial"/>
                <w:color w:val="000000"/>
              </w:rPr>
              <w:t>Ocena kryterium zostanie dokonana na podstawie informacji zawartych w Planach Działań RIT.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autoSpaceDE w:val="0"/>
              <w:autoSpaceDN w:val="0"/>
              <w:ind w:left="706" w:hanging="567"/>
              <w:rPr>
                <w:rFonts w:eastAsia="Calibri" w:cs="Arial"/>
              </w:rPr>
            </w:pPr>
            <w:r w:rsidRPr="00B0669D">
              <w:rPr>
                <w:rFonts w:eastAsia="Calibri" w:cs="Arial"/>
              </w:rPr>
              <w:t xml:space="preserve">7 </w:t>
            </w:r>
            <w:proofErr w:type="spellStart"/>
            <w:r w:rsidRPr="00B0669D">
              <w:rPr>
                <w:rFonts w:eastAsia="Calibri" w:cs="Arial"/>
              </w:rPr>
              <w:t>pkt</w:t>
            </w:r>
            <w:proofErr w:type="spellEnd"/>
            <w:r w:rsidRPr="00B0669D">
              <w:rPr>
                <w:rFonts w:eastAsia="Calibri" w:cs="Arial"/>
              </w:rPr>
              <w:t xml:space="preserve"> - projekt został wskazany jako projekt główny</w:t>
            </w:r>
          </w:p>
          <w:p w:rsidR="006B3580" w:rsidRPr="00B0669D" w:rsidRDefault="006B3580" w:rsidP="00AA1B61">
            <w:pPr>
              <w:autoSpaceDE w:val="0"/>
              <w:autoSpaceDN w:val="0"/>
              <w:ind w:left="706" w:hanging="567"/>
              <w:rPr>
                <w:rFonts w:eastAsia="Calibri" w:cs="Arial"/>
                <w:color w:val="000000"/>
              </w:rPr>
            </w:pPr>
            <w:r w:rsidRPr="00B0669D">
              <w:rPr>
                <w:rFonts w:eastAsia="Calibri" w:cs="Arial"/>
                <w:color w:val="000000"/>
              </w:rPr>
              <w:t xml:space="preserve">0 </w:t>
            </w:r>
            <w:proofErr w:type="spellStart"/>
            <w:r w:rsidRPr="00B0669D">
              <w:rPr>
                <w:rFonts w:eastAsia="Calibri" w:cs="Arial"/>
                <w:color w:val="000000"/>
              </w:rPr>
              <w:t>pkt</w:t>
            </w:r>
            <w:proofErr w:type="spellEnd"/>
            <w:r w:rsidRPr="00B0669D">
              <w:rPr>
                <w:rFonts w:eastAsia="Calibri" w:cs="Arial"/>
                <w:color w:val="000000"/>
              </w:rPr>
              <w:t xml:space="preserve"> – brak spełnienia kryterium lub brak informacji w tym zakresie.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80" w:rsidRPr="00B0669D" w:rsidRDefault="006B3580" w:rsidP="00AA1B61">
            <w:pPr>
              <w:ind w:left="34"/>
              <w:jc w:val="center"/>
              <w:rPr>
                <w:rFonts w:eastAsia="Times New Roman" w:cs="Arial"/>
                <w:highlight w:val="yellow"/>
                <w:lang w:eastAsia="pl-PL"/>
              </w:rPr>
            </w:pPr>
            <w:r w:rsidRPr="00B0669D">
              <w:rPr>
                <w:rFonts w:eastAsia="Calibri" w:cs="Arial"/>
              </w:rPr>
              <w:t>7</w:t>
            </w:r>
          </w:p>
        </w:tc>
      </w:tr>
    </w:tbl>
    <w:p w:rsidR="006B3580" w:rsidRDefault="006B3580" w:rsidP="00D773D3">
      <w:pPr>
        <w:rPr>
          <w:b/>
          <w:i/>
          <w:iCs/>
          <w:smallCaps/>
          <w:spacing w:val="10"/>
          <w:sz w:val="28"/>
          <w:szCs w:val="28"/>
        </w:rPr>
      </w:pPr>
    </w:p>
    <w:sectPr w:rsidR="006B3580" w:rsidSect="00F14C1E">
      <w:pgSz w:w="16838" w:h="11906" w:orient="landscape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70" w:rsidRDefault="00631670" w:rsidP="00D773D3">
      <w:pPr>
        <w:spacing w:before="0" w:after="0" w:line="240" w:lineRule="auto"/>
      </w:pPr>
      <w:r>
        <w:separator/>
      </w:r>
    </w:p>
  </w:endnote>
  <w:endnote w:type="continuationSeparator" w:id="0">
    <w:p w:rsidR="00631670" w:rsidRDefault="00631670" w:rsidP="00D773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70" w:rsidRDefault="00631670" w:rsidP="00D773D3">
      <w:pPr>
        <w:spacing w:before="0" w:after="0" w:line="240" w:lineRule="auto"/>
      </w:pPr>
      <w:r>
        <w:separator/>
      </w:r>
    </w:p>
  </w:footnote>
  <w:footnote w:type="continuationSeparator" w:id="0">
    <w:p w:rsidR="00631670" w:rsidRDefault="00631670" w:rsidP="00D773D3">
      <w:pPr>
        <w:spacing w:before="0" w:after="0" w:line="240" w:lineRule="auto"/>
      </w:pPr>
      <w:r>
        <w:continuationSeparator/>
      </w:r>
    </w:p>
  </w:footnote>
  <w:footnote w:id="1">
    <w:p w:rsidR="00631670" w:rsidRDefault="00631670" w:rsidP="00D773D3">
      <w:pPr>
        <w:pStyle w:val="Tekstprzypisudolnego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E2046058"/>
    <w:lvl w:ilvl="0" w:tplc="8646C4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FE31B80"/>
    <w:multiLevelType w:val="hybridMultilevel"/>
    <w:tmpl w:val="66900DAA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>
    <w:nsid w:val="408C0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30BCE"/>
    <w:multiLevelType w:val="hybridMultilevel"/>
    <w:tmpl w:val="377626F6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93D86"/>
    <w:multiLevelType w:val="hybridMultilevel"/>
    <w:tmpl w:val="044408C8"/>
    <w:lvl w:ilvl="0" w:tplc="5044BB10">
      <w:numFmt w:val="bullet"/>
      <w:lvlText w:val="·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7BC15DDF"/>
    <w:multiLevelType w:val="hybridMultilevel"/>
    <w:tmpl w:val="D8F4B570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5"/>
  </w:num>
  <w:num w:numId="12">
    <w:abstractNumId w:val="14"/>
  </w:num>
  <w:num w:numId="13">
    <w:abstractNumId w:val="10"/>
  </w:num>
  <w:num w:numId="14">
    <w:abstractNumId w:val="1"/>
  </w:num>
  <w:num w:numId="15">
    <w:abstractNumId w:val="16"/>
  </w:num>
  <w:num w:numId="16">
    <w:abstractNumId w:val="7"/>
  </w:num>
  <w:num w:numId="17">
    <w:abstractNumId w:val="17"/>
  </w:num>
  <w:num w:numId="1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3D3"/>
    <w:rsid w:val="0002125B"/>
    <w:rsid w:val="001A0644"/>
    <w:rsid w:val="00264E3B"/>
    <w:rsid w:val="004D3ECE"/>
    <w:rsid w:val="004F0E14"/>
    <w:rsid w:val="00581F0D"/>
    <w:rsid w:val="0060634E"/>
    <w:rsid w:val="0060648D"/>
    <w:rsid w:val="00631670"/>
    <w:rsid w:val="006824D4"/>
    <w:rsid w:val="006B3580"/>
    <w:rsid w:val="0098308D"/>
    <w:rsid w:val="009A0F77"/>
    <w:rsid w:val="00A119F4"/>
    <w:rsid w:val="00AA1B61"/>
    <w:rsid w:val="00CF7439"/>
    <w:rsid w:val="00D773D3"/>
    <w:rsid w:val="00E95E91"/>
    <w:rsid w:val="00F1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3D3"/>
    <w:pPr>
      <w:spacing w:before="120" w:after="120"/>
      <w:jc w:val="both"/>
    </w:pPr>
    <w:rPr>
      <w:rFonts w:ascii="Calibri" w:eastAsiaTheme="minorEastAsia" w:hAnsi="Calibri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3D3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3D3"/>
    <w:pPr>
      <w:spacing w:before="360" w:after="360"/>
      <w:outlineLvl w:val="1"/>
    </w:pPr>
    <w:rPr>
      <w:b/>
      <w:spacing w:val="5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73D3"/>
    <w:pPr>
      <w:spacing w:before="240" w:after="240"/>
      <w:outlineLvl w:val="2"/>
    </w:pPr>
    <w:rPr>
      <w:b/>
      <w:spacing w:val="5"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73D3"/>
    <w:pPr>
      <w:outlineLvl w:val="3"/>
    </w:pPr>
    <w:rPr>
      <w:b/>
      <w:iCs/>
      <w:spacing w:val="10"/>
      <w:sz w:val="28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3D3"/>
    <w:pPr>
      <w:spacing w:before="240" w:after="240"/>
      <w:outlineLvl w:val="4"/>
    </w:pPr>
    <w:rPr>
      <w:b/>
      <w:spacing w:val="10"/>
      <w:sz w:val="28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773D3"/>
    <w:pPr>
      <w:spacing w:after="0"/>
      <w:outlineLvl w:val="5"/>
    </w:pPr>
    <w:rPr>
      <w:smallCaps/>
      <w:color w:val="F79646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773D3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773D3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773D3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3D3"/>
    <w:rPr>
      <w:rFonts w:ascii="Calibri" w:eastAsiaTheme="minorEastAsia" w:hAnsi="Calibri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73D3"/>
    <w:rPr>
      <w:rFonts w:ascii="Calibri" w:eastAsiaTheme="minorEastAsia" w:hAnsi="Calibri"/>
      <w:b/>
      <w:spacing w:val="5"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773D3"/>
    <w:rPr>
      <w:rFonts w:ascii="Calibri" w:eastAsiaTheme="minorEastAsia" w:hAnsi="Calibri"/>
      <w:b/>
      <w:spacing w:val="5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773D3"/>
    <w:rPr>
      <w:rFonts w:ascii="Calibri" w:eastAsiaTheme="minorEastAsia" w:hAnsi="Calibri"/>
      <w:b/>
      <w:iCs/>
      <w:spacing w:val="10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D773D3"/>
    <w:rPr>
      <w:rFonts w:ascii="Calibri" w:eastAsiaTheme="minorEastAsia" w:hAnsi="Calibri"/>
      <w:b/>
      <w:spacing w:val="10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D773D3"/>
    <w:rPr>
      <w:rFonts w:ascii="Calibri" w:eastAsiaTheme="minorEastAsia" w:hAnsi="Calibri"/>
      <w:smallCaps/>
      <w:color w:val="F79646" w:themeColor="accent6"/>
      <w:spacing w:val="5"/>
    </w:rPr>
  </w:style>
  <w:style w:type="character" w:customStyle="1" w:styleId="Nagwek7Znak">
    <w:name w:val="Nagłówek 7 Znak"/>
    <w:basedOn w:val="Domylnaczcionkaakapitu"/>
    <w:link w:val="Nagwek7"/>
    <w:uiPriority w:val="9"/>
    <w:rsid w:val="00D773D3"/>
    <w:rPr>
      <w:rFonts w:ascii="Calibri" w:eastAsiaTheme="minorEastAsia" w:hAnsi="Calibri"/>
      <w:b/>
      <w:bCs/>
      <w:smallCaps/>
      <w:color w:val="F79646" w:themeColor="accent6"/>
      <w:spacing w:val="1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D773D3"/>
    <w:rPr>
      <w:rFonts w:ascii="Calibri" w:eastAsiaTheme="minorEastAsia" w:hAnsi="Calibri"/>
      <w:b/>
      <w:bCs/>
      <w:i/>
      <w:iCs/>
      <w:smallCaps/>
      <w:color w:val="E36C0A" w:themeColor="accent6" w:themeShade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773D3"/>
    <w:rPr>
      <w:rFonts w:ascii="Calibri" w:eastAsiaTheme="minorEastAsia" w:hAnsi="Calibri"/>
      <w:b/>
      <w:bCs/>
      <w:i/>
      <w:iCs/>
      <w:smallCaps/>
      <w:color w:val="984806" w:themeColor="accent6" w:themeShade="8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7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3D3"/>
    <w:rPr>
      <w:rFonts w:ascii="Calibri" w:eastAsiaTheme="minorEastAsia" w:hAnsi="Calibri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7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3D3"/>
    <w:rPr>
      <w:rFonts w:ascii="Calibri" w:eastAsiaTheme="minorEastAsia" w:hAnsi="Calibri"/>
      <w:szCs w:val="20"/>
    </w:rPr>
  </w:style>
  <w:style w:type="table" w:styleId="Tabela-Siatka">
    <w:name w:val="Table Grid"/>
    <w:basedOn w:val="Standardowy"/>
    <w:uiPriority w:val="59"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1ZnakZnakZnakZnakZnak">
    <w:name w:val="Znak Znak Znak1 Znak Znak Znak Znak Znak"/>
    <w:basedOn w:val="Normalny"/>
    <w:rsid w:val="00D773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773D3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D773D3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773D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D773D3"/>
    <w:pPr>
      <w:spacing w:after="0"/>
      <w:ind w:left="220"/>
      <w:jc w:val="left"/>
    </w:pPr>
    <w:rPr>
      <w:rFonts w:asciiTheme="minorHAnsi" w:hAnsiTheme="minorHAnsi"/>
      <w:i/>
      <w:iCs/>
      <w:sz w:val="20"/>
    </w:rPr>
  </w:style>
  <w:style w:type="paragraph" w:customStyle="1" w:styleId="SzOOP">
    <w:name w:val="SzOOP"/>
    <w:basedOn w:val="Nagwek1"/>
    <w:rsid w:val="00D773D3"/>
    <w:rPr>
      <w:szCs w:val="18"/>
    </w:rPr>
  </w:style>
  <w:style w:type="paragraph" w:customStyle="1" w:styleId="SzOOP2">
    <w:name w:val="SzOOP 2"/>
    <w:basedOn w:val="Nagwek2"/>
    <w:rsid w:val="00D773D3"/>
    <w:pPr>
      <w:tabs>
        <w:tab w:val="left" w:pos="992"/>
      </w:tabs>
    </w:pPr>
    <w:rPr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D773D3"/>
    <w:pPr>
      <w:suppressAutoHyphens/>
      <w:spacing w:after="0" w:line="240" w:lineRule="auto"/>
    </w:pPr>
    <w:rPr>
      <w:rFonts w:ascii="Arial" w:eastAsia="Times New Roman" w:hAnsi="Arial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D773D3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773D3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D773D3"/>
    <w:pPr>
      <w:keepNext/>
      <w:numPr>
        <w:ilvl w:val="5"/>
        <w:numId w:val="1"/>
      </w:numPr>
      <w:spacing w:after="0" w:line="360" w:lineRule="auto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D773D3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D773D3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D773D3"/>
    <w:rPr>
      <w:rFonts w:ascii="Calibri" w:eastAsiaTheme="minorEastAsia" w:hAnsi="Calibri"/>
      <w:szCs w:val="20"/>
    </w:rPr>
  </w:style>
  <w:style w:type="paragraph" w:customStyle="1" w:styleId="SzOOP30">
    <w:name w:val="SzOOP 3"/>
    <w:basedOn w:val="SzOOP2"/>
    <w:rsid w:val="00D773D3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D773D3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D773D3"/>
    <w:rPr>
      <w:b/>
      <w:bCs/>
      <w:color w:val="F79646" w:themeColor="accent6"/>
    </w:rPr>
  </w:style>
  <w:style w:type="character" w:customStyle="1" w:styleId="h1">
    <w:name w:val="h1"/>
    <w:uiPriority w:val="99"/>
    <w:rsid w:val="00D773D3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D773D3"/>
    <w:pPr>
      <w:spacing w:before="0" w:after="0"/>
      <w:ind w:left="440"/>
      <w:jc w:val="left"/>
    </w:pPr>
    <w:rPr>
      <w:rFonts w:asciiTheme="minorHAnsi" w:hAnsiTheme="minorHAnsi"/>
      <w:sz w:val="20"/>
    </w:rPr>
  </w:style>
  <w:style w:type="paragraph" w:styleId="Tekstpodstawowy">
    <w:name w:val="Body Text"/>
    <w:basedOn w:val="Normalny"/>
    <w:link w:val="TekstpodstawowyZnak"/>
    <w:uiPriority w:val="99"/>
    <w:rsid w:val="00D773D3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73D3"/>
    <w:rPr>
      <w:rFonts w:ascii="Times New Roman" w:eastAsiaTheme="minorEastAsia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D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773D3"/>
    <w:rPr>
      <w:b/>
      <w:bCs/>
      <w:i/>
      <w:iCs/>
      <w:spacing w:val="10"/>
    </w:rPr>
  </w:style>
  <w:style w:type="paragraph" w:customStyle="1" w:styleId="Default">
    <w:name w:val="Default"/>
    <w:rsid w:val="00D773D3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D77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3D3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3D3"/>
    <w:rPr>
      <w:rFonts w:ascii="Calibri" w:eastAsia="Times New Roman" w:hAnsi="Calibri"/>
      <w:szCs w:val="20"/>
    </w:rPr>
  </w:style>
  <w:style w:type="paragraph" w:customStyle="1" w:styleId="Style16">
    <w:name w:val="Style16"/>
    <w:basedOn w:val="Normalny"/>
    <w:uiPriority w:val="99"/>
    <w:rsid w:val="00D773D3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D773D3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D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D3"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3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D3"/>
    <w:rPr>
      <w:rFonts w:ascii="Tahoma" w:eastAsiaTheme="minorEastAsia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D773D3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D773D3"/>
    <w:pPr>
      <w:spacing w:after="240" w:line="240" w:lineRule="auto"/>
      <w:ind w:left="482"/>
    </w:pPr>
    <w:rPr>
      <w:rFonts w:ascii="Times New Roman" w:eastAsia="Times New Roman" w:hAnsi="Times New Roman"/>
      <w:sz w:val="24"/>
      <w:szCs w:val="22"/>
      <w:lang w:val="en-GB"/>
    </w:rPr>
  </w:style>
  <w:style w:type="paragraph" w:styleId="Listapunktowana">
    <w:name w:val="List Bullet"/>
    <w:basedOn w:val="Normalny"/>
    <w:uiPriority w:val="99"/>
    <w:rsid w:val="00D773D3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D773D3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D773D3"/>
  </w:style>
  <w:style w:type="paragraph" w:customStyle="1" w:styleId="Styl3">
    <w:name w:val="Styl3"/>
    <w:basedOn w:val="Zwykytekst"/>
    <w:rsid w:val="00D773D3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73D3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73D3"/>
    <w:rPr>
      <w:rFonts w:ascii="Courier New" w:eastAsia="Times New Roman" w:hAnsi="Courier New"/>
      <w:szCs w:val="20"/>
    </w:rPr>
  </w:style>
  <w:style w:type="paragraph" w:customStyle="1" w:styleId="Akapitzlist11">
    <w:name w:val="Akapit z listą11"/>
    <w:basedOn w:val="Normalny"/>
    <w:uiPriority w:val="99"/>
    <w:rsid w:val="00D773D3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D773D3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D773D3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D773D3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D773D3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  <w:szCs w:val="20"/>
    </w:rPr>
  </w:style>
  <w:style w:type="paragraph" w:styleId="Akapitzlist0">
    <w:name w:val="List Paragraph"/>
    <w:aliases w:val="List Paragraph,A_wyliczenie,K-P_odwolanie,Akapit z listą5,maz_wyliczenie,opis dzialania,Signature"/>
    <w:basedOn w:val="Normalny"/>
    <w:uiPriority w:val="99"/>
    <w:qFormat/>
    <w:rsid w:val="00D773D3"/>
    <w:pPr>
      <w:ind w:left="720"/>
      <w:contextualSpacing/>
    </w:pPr>
  </w:style>
  <w:style w:type="paragraph" w:styleId="Poprawka">
    <w:name w:val="Revision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character" w:styleId="UyteHipercze">
    <w:name w:val="FollowedHyperlink"/>
    <w:uiPriority w:val="99"/>
    <w:semiHidden/>
    <w:unhideWhenUsed/>
    <w:rsid w:val="00D773D3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773D3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773D3"/>
    <w:rPr>
      <w:rFonts w:ascii="Calibri" w:eastAsiaTheme="minorEastAsia" w:hAnsi="Calibri"/>
      <w:szCs w:val="20"/>
    </w:rPr>
  </w:style>
  <w:style w:type="paragraph" w:styleId="Bezodstpw">
    <w:name w:val="No Spacing"/>
    <w:aliases w:val="KM"/>
    <w:uiPriority w:val="1"/>
    <w:qFormat/>
    <w:rsid w:val="00D773D3"/>
    <w:pPr>
      <w:spacing w:before="240" w:after="240" w:line="240" w:lineRule="auto"/>
      <w:jc w:val="both"/>
    </w:pPr>
    <w:rPr>
      <w:rFonts w:ascii="Calibri" w:eastAsiaTheme="minorEastAsia" w:hAnsi="Calibri"/>
      <w:b/>
      <w:color w:val="984806" w:themeColor="accent6" w:themeShade="80"/>
      <w:sz w:val="24"/>
      <w:szCs w:val="20"/>
    </w:rPr>
  </w:style>
  <w:style w:type="character" w:customStyle="1" w:styleId="h2">
    <w:name w:val="h2"/>
    <w:rsid w:val="00D773D3"/>
  </w:style>
  <w:style w:type="paragraph" w:styleId="Spistreci4">
    <w:name w:val="toc 4"/>
    <w:basedOn w:val="Normalny"/>
    <w:next w:val="Normalny"/>
    <w:autoRedefine/>
    <w:uiPriority w:val="39"/>
    <w:unhideWhenUsed/>
    <w:rsid w:val="00D773D3"/>
    <w:pPr>
      <w:spacing w:before="0" w:after="0"/>
      <w:ind w:left="660"/>
      <w:jc w:val="left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D773D3"/>
    <w:pPr>
      <w:spacing w:before="0" w:after="0"/>
      <w:ind w:left="880"/>
      <w:jc w:val="left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D773D3"/>
    <w:pPr>
      <w:spacing w:before="0" w:after="0"/>
      <w:ind w:left="1100"/>
      <w:jc w:val="left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D773D3"/>
    <w:pPr>
      <w:spacing w:before="0" w:after="0"/>
      <w:ind w:left="1320"/>
      <w:jc w:val="left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D773D3"/>
    <w:pPr>
      <w:spacing w:before="0" w:after="0"/>
      <w:ind w:left="1540"/>
      <w:jc w:val="left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D773D3"/>
    <w:pPr>
      <w:spacing w:before="0" w:after="0"/>
      <w:ind w:left="1760"/>
      <w:jc w:val="left"/>
    </w:pPr>
    <w:rPr>
      <w:rFonts w:asciiTheme="minorHAnsi" w:hAnsiTheme="minorHAnsi"/>
      <w:sz w:val="20"/>
    </w:rPr>
  </w:style>
  <w:style w:type="paragraph" w:customStyle="1" w:styleId="Kolorowecieniowanieakcent111">
    <w:name w:val="Kolorowe cieniowanie — akcent 111"/>
    <w:hidden/>
    <w:uiPriority w:val="99"/>
    <w:semiHidden/>
    <w:rsid w:val="00D773D3"/>
    <w:pPr>
      <w:spacing w:before="120" w:after="0" w:line="240" w:lineRule="auto"/>
      <w:jc w:val="both"/>
    </w:pPr>
    <w:rPr>
      <w:rFonts w:ascii="Calibri" w:eastAsia="Calibri" w:hAnsi="Calibri" w:cs="Times New Roman"/>
      <w:szCs w:val="20"/>
    </w:rPr>
  </w:style>
  <w:style w:type="paragraph" w:customStyle="1" w:styleId="ZnakZnak41">
    <w:name w:val="Znak Znak41"/>
    <w:basedOn w:val="Normalny"/>
    <w:rsid w:val="00D773D3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D773D3"/>
    <w:pPr>
      <w:outlineLvl w:val="9"/>
    </w:pPr>
  </w:style>
  <w:style w:type="character" w:styleId="Odwoaniedelikatne">
    <w:name w:val="Subtle Reference"/>
    <w:uiPriority w:val="31"/>
    <w:qFormat/>
    <w:rsid w:val="00D773D3"/>
    <w:rPr>
      <w:b/>
      <w:bCs/>
    </w:rPr>
  </w:style>
  <w:style w:type="paragraph" w:customStyle="1" w:styleId="713">
    <w:name w:val="713"/>
    <w:basedOn w:val="Normalny"/>
    <w:rsid w:val="00D773D3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D773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D773D3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D773D3"/>
  </w:style>
  <w:style w:type="paragraph" w:customStyle="1" w:styleId="font5">
    <w:name w:val="font5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D773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D773D3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D773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D773D3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D773D3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D773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D773D3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D773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D773D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D773D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D773D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D773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D773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D773D3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D773D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D773D3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D773D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D773D3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D773D3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D773D3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D773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D773D3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D773D3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D773D3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D77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D7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D773D3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D773D3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D773D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D773D3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D773D3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D773D3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D773D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D773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46">
    <w:name w:val="xl246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D773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D773D3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D773D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D773D3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D773D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D773D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D773D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D77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D77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D773D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D773D3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D773D3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D773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D773D3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D773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D773D3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D773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D773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D773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D77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D77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D773D3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D773D3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D77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D773D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D773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D773D3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D773D3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D773D3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D773D3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D77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D773D3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D77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D773D3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D77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D773D3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D773D3"/>
    <w:pPr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D773D3"/>
    <w:rPr>
      <w:rFonts w:ascii="Arial" w:eastAsiaTheme="minorEastAsia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eastAsiaTheme="minorEastAsia" w:hAnsi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D773D3"/>
    <w:rPr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D773D3"/>
    <w:pPr>
      <w:pBdr>
        <w:top w:val="single" w:sz="8" w:space="1" w:color="F79646" w:themeColor="accent6"/>
      </w:pBdr>
      <w:spacing w:before="360" w:after="360" w:line="240" w:lineRule="auto"/>
    </w:pPr>
    <w:rPr>
      <w:b/>
      <w:color w:val="262626" w:themeColor="text1" w:themeTint="D9"/>
      <w:sz w:val="40"/>
      <w:szCs w:val="52"/>
    </w:rPr>
  </w:style>
  <w:style w:type="character" w:customStyle="1" w:styleId="TytuZnak">
    <w:name w:val="Tytuł Znak"/>
    <w:aliases w:val="Załacznik nr 3 Znak"/>
    <w:basedOn w:val="Domylnaczcionkaakapitu"/>
    <w:link w:val="Tytu"/>
    <w:uiPriority w:val="10"/>
    <w:rsid w:val="00D773D3"/>
    <w:rPr>
      <w:rFonts w:ascii="Calibri" w:eastAsiaTheme="minorEastAsia" w:hAnsi="Calibri"/>
      <w:b/>
      <w:color w:val="262626" w:themeColor="text1" w:themeTint="D9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3D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773D3"/>
    <w:rPr>
      <w:rFonts w:asciiTheme="majorHAnsi" w:eastAsiaTheme="majorEastAsia" w:hAnsiTheme="majorHAnsi" w:cstheme="majorBidi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D773D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773D3"/>
    <w:rPr>
      <w:rFonts w:ascii="Calibri" w:eastAsiaTheme="minorEastAsia" w:hAnsi="Calibri"/>
      <w:i/>
      <w:iCs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3D3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3D3"/>
    <w:rPr>
      <w:rFonts w:ascii="Calibri" w:eastAsiaTheme="minorEastAsia" w:hAnsi="Calibri"/>
      <w:b/>
      <w:bCs/>
      <w:i/>
      <w:iCs/>
      <w:szCs w:val="20"/>
    </w:rPr>
  </w:style>
  <w:style w:type="character" w:styleId="Wyrnieniedelikatne">
    <w:name w:val="Subtle Emphasis"/>
    <w:uiPriority w:val="19"/>
    <w:qFormat/>
    <w:rsid w:val="00D773D3"/>
    <w:rPr>
      <w:i/>
      <w:iCs/>
    </w:rPr>
  </w:style>
  <w:style w:type="character" w:styleId="Wyrnienieintensywne">
    <w:name w:val="Intense Emphasis"/>
    <w:uiPriority w:val="21"/>
    <w:qFormat/>
    <w:rsid w:val="00D773D3"/>
    <w:rPr>
      <w:b/>
      <w:bCs/>
      <w:i/>
      <w:iCs/>
      <w:color w:val="F79646" w:themeColor="accent6"/>
      <w:spacing w:val="10"/>
    </w:rPr>
  </w:style>
  <w:style w:type="character" w:styleId="Odwoanieintensywne">
    <w:name w:val="Intense Reference"/>
    <w:uiPriority w:val="32"/>
    <w:qFormat/>
    <w:rsid w:val="00D773D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773D3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D773D3"/>
    <w:pPr>
      <w:spacing w:before="120" w:after="0" w:line="240" w:lineRule="auto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1">
    <w:name w:val="Tekst przypisu dolnego Znak1"/>
    <w:basedOn w:val="Domylnaczcionkaakapitu"/>
    <w:uiPriority w:val="99"/>
    <w:semiHidden/>
    <w:rsid w:val="00D773D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EDA1E-91DD-4A01-903B-84220AF1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4042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5</cp:revision>
  <cp:lastPrinted>2017-01-17T07:57:00Z</cp:lastPrinted>
  <dcterms:created xsi:type="dcterms:W3CDTF">2017-01-17T06:15:00Z</dcterms:created>
  <dcterms:modified xsi:type="dcterms:W3CDTF">2017-01-17T08:08:00Z</dcterms:modified>
</cp:coreProperties>
</file>